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C0366" w14:textId="0AC26945" w:rsidR="002A2ED0" w:rsidRPr="00B6673F" w:rsidRDefault="002A2ED0" w:rsidP="00E273FC">
      <w:pPr>
        <w:pStyle w:val="Kop1"/>
        <w:rPr>
          <w:rFonts w:cs="Arial"/>
          <w:sz w:val="20"/>
        </w:rPr>
      </w:pPr>
      <w:bookmarkStart w:id="0" w:name="_GoBack"/>
      <w:bookmarkEnd w:id="0"/>
      <w:r w:rsidRPr="00B6673F">
        <w:rPr>
          <w:rFonts w:cs="Arial"/>
          <w:sz w:val="20"/>
        </w:rPr>
        <w:t xml:space="preserve">Eenmalige energietoeslag van € 800 voor Zwolse huishoudens met </w:t>
      </w:r>
      <w:r w:rsidR="003F3FAA">
        <w:rPr>
          <w:rFonts w:cs="Arial"/>
          <w:sz w:val="20"/>
        </w:rPr>
        <w:t>l</w:t>
      </w:r>
      <w:r w:rsidRPr="00B6673F">
        <w:rPr>
          <w:rFonts w:cs="Arial"/>
          <w:sz w:val="20"/>
        </w:rPr>
        <w:t>aag inkomen</w:t>
      </w:r>
    </w:p>
    <w:p w14:paraId="202FC7D0" w14:textId="30BDE6CE" w:rsidR="00390CDE" w:rsidRPr="00B6673F" w:rsidRDefault="003F3FAA" w:rsidP="00390CDE">
      <w:pPr>
        <w:rPr>
          <w:rFonts w:cs="Arial"/>
        </w:rPr>
      </w:pPr>
      <w:r>
        <w:rPr>
          <w:rFonts w:cs="Arial"/>
        </w:rPr>
        <w:t xml:space="preserve">De prijzen van energie zijn de afgelopen maanden hard gestegen. </w:t>
      </w:r>
      <w:r w:rsidR="002A2ED0" w:rsidRPr="00B6673F">
        <w:rPr>
          <w:rFonts w:cs="Arial"/>
        </w:rPr>
        <w:t xml:space="preserve">Op 10 december 2021 heeft het kabinet besloten om </w:t>
      </w:r>
      <w:r>
        <w:rPr>
          <w:rFonts w:cs="Arial"/>
        </w:rPr>
        <w:t>aan</w:t>
      </w:r>
      <w:r w:rsidR="002A2ED0" w:rsidRPr="00B6673F">
        <w:rPr>
          <w:rFonts w:cs="Arial"/>
        </w:rPr>
        <w:t xml:space="preserve"> huishoudens met een </w:t>
      </w:r>
      <w:r>
        <w:rPr>
          <w:rFonts w:cs="Arial"/>
        </w:rPr>
        <w:t>l</w:t>
      </w:r>
      <w:r w:rsidR="002A2ED0" w:rsidRPr="00B6673F">
        <w:rPr>
          <w:rFonts w:cs="Arial"/>
        </w:rPr>
        <w:t xml:space="preserve">aag inkomen </w:t>
      </w:r>
      <w:r>
        <w:rPr>
          <w:rFonts w:cs="Arial"/>
        </w:rPr>
        <w:t>een eenmalige energietoeslag te betalen</w:t>
      </w:r>
      <w:r w:rsidR="002A2ED0" w:rsidRPr="00B6673F">
        <w:rPr>
          <w:rFonts w:cs="Arial"/>
        </w:rPr>
        <w:t xml:space="preserve">. </w:t>
      </w:r>
      <w:r w:rsidR="00390CDE">
        <w:rPr>
          <w:rFonts w:cs="Arial"/>
        </w:rPr>
        <w:t>De energietoeslag is bedoeld om de energiekosten te betalen</w:t>
      </w:r>
      <w:r w:rsidR="00390CDE" w:rsidRPr="00B6673F">
        <w:rPr>
          <w:rFonts w:cs="Arial"/>
        </w:rPr>
        <w:t>.</w:t>
      </w:r>
    </w:p>
    <w:p w14:paraId="03B780E4" w14:textId="68D05366" w:rsidR="00390CDE" w:rsidRDefault="00390CDE" w:rsidP="002A2ED0">
      <w:pPr>
        <w:rPr>
          <w:rFonts w:cs="Arial"/>
        </w:rPr>
      </w:pPr>
      <w:r>
        <w:rPr>
          <w:rFonts w:cs="Arial"/>
        </w:rPr>
        <w:t>De gemeente Zwolle</w:t>
      </w:r>
      <w:r w:rsidR="009C7F12">
        <w:rPr>
          <w:rFonts w:cs="Arial"/>
        </w:rPr>
        <w:t xml:space="preserve"> wil niet wachten tot de regeling helemaal rond is en</w:t>
      </w:r>
      <w:r>
        <w:rPr>
          <w:rFonts w:cs="Arial"/>
        </w:rPr>
        <w:t xml:space="preserve"> geeft</w:t>
      </w:r>
      <w:r w:rsidR="009C7F12">
        <w:rPr>
          <w:rFonts w:cs="Arial"/>
        </w:rPr>
        <w:t xml:space="preserve"> nu al </w:t>
      </w:r>
      <w:r w:rsidR="002A2ED0" w:rsidRPr="00B6673F">
        <w:rPr>
          <w:rFonts w:cs="Arial"/>
        </w:rPr>
        <w:t xml:space="preserve">€ 800 </w:t>
      </w:r>
      <w:r>
        <w:rPr>
          <w:rFonts w:cs="Arial"/>
        </w:rPr>
        <w:t xml:space="preserve">aan huishoudens met een inkomen tot 130% van het sociaal minimum. </w:t>
      </w:r>
    </w:p>
    <w:p w14:paraId="71F83ED5" w14:textId="77777777" w:rsidR="002A2ED0" w:rsidRPr="00B6673F" w:rsidRDefault="002A2ED0" w:rsidP="00E273FC">
      <w:pPr>
        <w:pStyle w:val="Kop1"/>
        <w:rPr>
          <w:rFonts w:cs="Arial"/>
          <w:sz w:val="20"/>
        </w:rPr>
      </w:pPr>
      <w:r w:rsidRPr="00B6673F">
        <w:rPr>
          <w:rFonts w:cs="Arial"/>
          <w:sz w:val="20"/>
        </w:rPr>
        <w:t>Hoe werkt het?</w:t>
      </w:r>
    </w:p>
    <w:p w14:paraId="5B8F57A8" w14:textId="02572AA0" w:rsidR="002A2ED0" w:rsidRPr="00B6673F" w:rsidRDefault="002A2ED0" w:rsidP="002A2ED0">
      <w:pPr>
        <w:rPr>
          <w:rFonts w:cs="Arial"/>
        </w:rPr>
      </w:pPr>
      <w:r w:rsidRPr="00B6673F">
        <w:rPr>
          <w:rFonts w:cs="Arial"/>
        </w:rPr>
        <w:t xml:space="preserve">De gemeente Zwolle kijkt of gegevens van inwoners die recht hebben op de energietoeslag bij de gemeente bekend zijn. Aan de hand van die gegevens gaat de gemeente de energietoeslag zoveel mogelijk in april </w:t>
      </w:r>
      <w:r w:rsidR="00E96304">
        <w:rPr>
          <w:rFonts w:cs="Arial"/>
        </w:rPr>
        <w:t xml:space="preserve">(uiterlijk 15 </w:t>
      </w:r>
      <w:r w:rsidR="00205BD8">
        <w:rPr>
          <w:rFonts w:cs="Arial"/>
        </w:rPr>
        <w:t>april</w:t>
      </w:r>
      <w:r w:rsidR="00E96304">
        <w:rPr>
          <w:rFonts w:cs="Arial"/>
        </w:rPr>
        <w:t xml:space="preserve"> 2022) </w:t>
      </w:r>
      <w:r w:rsidRPr="00B6673F">
        <w:rPr>
          <w:rFonts w:cs="Arial"/>
        </w:rPr>
        <w:t>vanzelf betalen. Inwoners die de energietoeslag automatisch krijgen, ontvangen daarover een brief.</w:t>
      </w:r>
    </w:p>
    <w:p w14:paraId="25229FA0" w14:textId="77777777" w:rsidR="002A2ED0" w:rsidRPr="00B6673F" w:rsidRDefault="002A2ED0" w:rsidP="002A2ED0">
      <w:pPr>
        <w:rPr>
          <w:rFonts w:cs="Arial"/>
        </w:rPr>
      </w:pPr>
    </w:p>
    <w:p w14:paraId="43A7DF3E" w14:textId="79FAD7E8" w:rsidR="002A2ED0" w:rsidRPr="00B6673F" w:rsidRDefault="002A2ED0" w:rsidP="002A2ED0">
      <w:pPr>
        <w:rPr>
          <w:rFonts w:cs="Arial"/>
        </w:rPr>
      </w:pPr>
      <w:r w:rsidRPr="00B6673F">
        <w:rPr>
          <w:rFonts w:cs="Arial"/>
        </w:rPr>
        <w:t xml:space="preserve">De gemeente kan de toeslag alleen betalen als ze kan vaststellen dat inwoners recht hebben op de toeslag. Als de gemeente dat niet kan, moeten inwoners de toeslag zelf aanvragen. Dat geldt bijvoorbeeld voor mensen die de afgelopen jaren geen beroep deden op de minimaregelingen en daarom niet bekend zijn bij de gemeente. Zij kunnen vanaf medio april zelf de eenmalige energietoeslag via de website van de </w:t>
      </w:r>
    </w:p>
    <w:p w14:paraId="3386F8A7" w14:textId="6589CAD1" w:rsidR="00890F1A" w:rsidRPr="00B6673F" w:rsidRDefault="002A2ED0" w:rsidP="002A2ED0">
      <w:pPr>
        <w:rPr>
          <w:rFonts w:cs="Arial"/>
        </w:rPr>
      </w:pPr>
      <w:r w:rsidRPr="00B6673F">
        <w:rPr>
          <w:rFonts w:cs="Arial"/>
        </w:rPr>
        <w:t>gemeente Zwolle aanvragen. Op de website is ook te vinden wie er wel of niet in aanmerking komen voor de toeslag.</w:t>
      </w:r>
    </w:p>
    <w:p w14:paraId="7236B387" w14:textId="07143425" w:rsidR="00D452EE" w:rsidRPr="00B6673F" w:rsidRDefault="00D452EE" w:rsidP="002A2ED0">
      <w:pPr>
        <w:rPr>
          <w:rFonts w:cs="Arial"/>
        </w:rPr>
      </w:pPr>
    </w:p>
    <w:p w14:paraId="2D2134D4" w14:textId="6AE27C67" w:rsidR="00D452EE" w:rsidRPr="00B6673F" w:rsidRDefault="00D452EE" w:rsidP="00E273FC">
      <w:pPr>
        <w:pStyle w:val="Kop2"/>
        <w:rPr>
          <w:rFonts w:cs="Arial"/>
          <w:sz w:val="20"/>
        </w:rPr>
      </w:pPr>
      <w:r w:rsidRPr="00B6673F">
        <w:rPr>
          <w:rFonts w:cs="Arial"/>
          <w:sz w:val="20"/>
        </w:rPr>
        <w:t>Wie krijgt de toeslag vanzelf en wie moet aanvragen</w:t>
      </w:r>
    </w:p>
    <w:p w14:paraId="219029C2" w14:textId="145F6C65" w:rsidR="00D452EE" w:rsidRPr="00D452EE" w:rsidRDefault="00D452EE" w:rsidP="00D452EE">
      <w:pPr>
        <w:shd w:val="clear" w:color="auto" w:fill="FFFFFF"/>
        <w:adjustRightInd/>
        <w:spacing w:before="240" w:after="240" w:line="240" w:lineRule="auto"/>
        <w:rPr>
          <w:rFonts w:cs="Arial"/>
          <w:color w:val="000000"/>
        </w:rPr>
      </w:pPr>
      <w:r w:rsidRPr="00D452EE">
        <w:rPr>
          <w:rFonts w:cs="Arial"/>
          <w:color w:val="000000"/>
        </w:rPr>
        <w:t xml:space="preserve">Hier </w:t>
      </w:r>
      <w:r w:rsidR="00E273FC" w:rsidRPr="00B6673F">
        <w:rPr>
          <w:rFonts w:cs="Arial"/>
          <w:color w:val="000000"/>
        </w:rPr>
        <w:t xml:space="preserve">is te zien </w:t>
      </w:r>
      <w:r w:rsidRPr="00D452EE">
        <w:rPr>
          <w:rFonts w:cs="Arial"/>
          <w:color w:val="000000"/>
        </w:rPr>
        <w:t>wie de energietoeslag niet hoeft aan te vragen en vanzelf krijgt.</w:t>
      </w:r>
      <w:r w:rsidR="003A2B81">
        <w:rPr>
          <w:rFonts w:cs="Arial"/>
          <w:color w:val="000000"/>
        </w:rPr>
        <w:t xml:space="preserve"> </w:t>
      </w:r>
      <w:r w:rsidRPr="00D452EE">
        <w:rPr>
          <w:rFonts w:cs="Arial"/>
          <w:color w:val="000000"/>
        </w:rPr>
        <w:t>En wie moet aanvragen:</w:t>
      </w:r>
    </w:p>
    <w:tbl>
      <w:tblPr>
        <w:tblW w:w="10025" w:type="dxa"/>
        <w:tblBorders>
          <w:top w:val="single" w:sz="6" w:space="0" w:color="D7D7D7"/>
          <w:left w:val="single" w:sz="6" w:space="0" w:color="D7D7D7"/>
          <w:bottom w:val="single" w:sz="6" w:space="0" w:color="D7D7D7"/>
          <w:right w:val="single" w:sz="6" w:space="0" w:color="D7D7D7"/>
        </w:tblBorders>
        <w:shd w:val="clear" w:color="auto" w:fill="FFFFFF"/>
        <w:tblCellMar>
          <w:top w:w="15" w:type="dxa"/>
          <w:left w:w="15" w:type="dxa"/>
          <w:bottom w:w="15" w:type="dxa"/>
          <w:right w:w="15" w:type="dxa"/>
        </w:tblCellMar>
        <w:tblLook w:val="04A0" w:firstRow="1" w:lastRow="0" w:firstColumn="1" w:lastColumn="0" w:noHBand="0" w:noVBand="1"/>
      </w:tblPr>
      <w:tblGrid>
        <w:gridCol w:w="6523"/>
        <w:gridCol w:w="3502"/>
      </w:tblGrid>
      <w:tr w:rsidR="00317A68" w:rsidRPr="00B6673F" w14:paraId="59710E87" w14:textId="77777777" w:rsidTr="004B0B57">
        <w:tc>
          <w:tcPr>
            <w:tcW w:w="0" w:type="auto"/>
            <w:tcBorders>
              <w:top w:val="single" w:sz="6" w:space="0" w:color="476DB7"/>
              <w:left w:val="single" w:sz="6" w:space="0" w:color="476DB7"/>
              <w:bottom w:val="single" w:sz="6" w:space="0" w:color="476DB7"/>
              <w:right w:val="single" w:sz="6" w:space="0" w:color="476DB7"/>
            </w:tcBorders>
            <w:shd w:val="clear" w:color="auto" w:fill="FFFFFF"/>
            <w:tcMar>
              <w:top w:w="120" w:type="dxa"/>
              <w:left w:w="0" w:type="dxa"/>
              <w:bottom w:w="60" w:type="dxa"/>
              <w:right w:w="120" w:type="dxa"/>
            </w:tcMar>
            <w:hideMark/>
          </w:tcPr>
          <w:p w14:paraId="329EA988" w14:textId="2BD79118" w:rsidR="00D452EE" w:rsidRPr="00D452EE" w:rsidRDefault="00D452EE" w:rsidP="00D452EE">
            <w:pPr>
              <w:adjustRightInd/>
              <w:spacing w:before="120" w:after="120" w:line="240" w:lineRule="auto"/>
              <w:ind w:left="240" w:right="240"/>
              <w:rPr>
                <w:rFonts w:cs="Arial"/>
                <w:color w:val="000000"/>
              </w:rPr>
            </w:pPr>
            <w:r w:rsidRPr="00D452EE">
              <w:rPr>
                <w:rFonts w:cs="Arial"/>
                <w:color w:val="000000"/>
              </w:rPr>
              <w:t>Inwoners met een uitkering</w:t>
            </w:r>
            <w:r w:rsidR="00317A68">
              <w:rPr>
                <w:rFonts w:cs="Arial"/>
                <w:color w:val="000000"/>
              </w:rPr>
              <w:t xml:space="preserve"> van de gemeente Zwolle</w:t>
            </w:r>
          </w:p>
        </w:tc>
        <w:tc>
          <w:tcPr>
            <w:tcW w:w="0" w:type="auto"/>
            <w:tcBorders>
              <w:top w:val="single" w:sz="6" w:space="0" w:color="476DB7"/>
              <w:left w:val="single" w:sz="6" w:space="0" w:color="476DB7"/>
              <w:bottom w:val="single" w:sz="6" w:space="0" w:color="476DB7"/>
              <w:right w:val="single" w:sz="6" w:space="0" w:color="476DB7"/>
            </w:tcBorders>
            <w:shd w:val="clear" w:color="auto" w:fill="FFFFFF"/>
            <w:tcMar>
              <w:top w:w="60" w:type="dxa"/>
              <w:left w:w="120" w:type="dxa"/>
              <w:bottom w:w="120" w:type="dxa"/>
              <w:right w:w="0" w:type="dxa"/>
            </w:tcMar>
            <w:hideMark/>
          </w:tcPr>
          <w:p w14:paraId="0BDA86C6" w14:textId="637FD966" w:rsidR="00D452EE" w:rsidRPr="00D452EE" w:rsidRDefault="00D452EE" w:rsidP="00D452EE">
            <w:pPr>
              <w:adjustRightInd/>
              <w:spacing w:before="120" w:after="120" w:line="240" w:lineRule="auto"/>
              <w:ind w:left="240" w:right="240"/>
              <w:rPr>
                <w:rFonts w:cs="Arial"/>
                <w:color w:val="000000"/>
              </w:rPr>
            </w:pPr>
            <w:r w:rsidRPr="00B6673F">
              <w:rPr>
                <w:rFonts w:cs="Arial"/>
                <w:color w:val="000000"/>
              </w:rPr>
              <w:t>D</w:t>
            </w:r>
            <w:r w:rsidRPr="00D452EE">
              <w:rPr>
                <w:rFonts w:cs="Arial"/>
                <w:color w:val="000000"/>
              </w:rPr>
              <w:t xml:space="preserve">e toeslag </w:t>
            </w:r>
            <w:r w:rsidRPr="00B6673F">
              <w:rPr>
                <w:rFonts w:cs="Arial"/>
                <w:color w:val="000000"/>
              </w:rPr>
              <w:t xml:space="preserve">hoeft men </w:t>
            </w:r>
            <w:r w:rsidRPr="00D452EE">
              <w:rPr>
                <w:rFonts w:cs="Arial"/>
                <w:color w:val="000000"/>
              </w:rPr>
              <w:t xml:space="preserve">niet aan te vragen en </w:t>
            </w:r>
            <w:r w:rsidRPr="00B6673F">
              <w:rPr>
                <w:rFonts w:cs="Arial"/>
                <w:color w:val="000000"/>
              </w:rPr>
              <w:t xml:space="preserve">men </w:t>
            </w:r>
            <w:r w:rsidRPr="00D452EE">
              <w:rPr>
                <w:rFonts w:cs="Arial"/>
                <w:color w:val="000000"/>
              </w:rPr>
              <w:t>krijgt deze vanzelf</w:t>
            </w:r>
          </w:p>
        </w:tc>
      </w:tr>
      <w:tr w:rsidR="00317A68" w:rsidRPr="00B6673F" w14:paraId="5090665B" w14:textId="77777777" w:rsidTr="004B0B57">
        <w:tc>
          <w:tcPr>
            <w:tcW w:w="0" w:type="auto"/>
            <w:tcBorders>
              <w:top w:val="single" w:sz="6" w:space="0" w:color="476DB7"/>
              <w:left w:val="single" w:sz="6" w:space="0" w:color="476DB7"/>
              <w:bottom w:val="single" w:sz="6" w:space="0" w:color="476DB7"/>
              <w:right w:val="single" w:sz="6" w:space="0" w:color="476DB7"/>
            </w:tcBorders>
            <w:shd w:val="clear" w:color="auto" w:fill="FFFFFF"/>
            <w:tcMar>
              <w:top w:w="120" w:type="dxa"/>
              <w:left w:w="0" w:type="dxa"/>
              <w:bottom w:w="60" w:type="dxa"/>
              <w:right w:w="120" w:type="dxa"/>
            </w:tcMar>
          </w:tcPr>
          <w:p w14:paraId="516F7E8F" w14:textId="760BF7F6" w:rsidR="00317A68" w:rsidRPr="00D452EE" w:rsidRDefault="00317A68" w:rsidP="00D452EE">
            <w:pPr>
              <w:adjustRightInd/>
              <w:spacing w:before="120" w:after="120" w:line="240" w:lineRule="auto"/>
              <w:ind w:left="240" w:right="240"/>
              <w:rPr>
                <w:rFonts w:cs="Arial"/>
                <w:color w:val="000000"/>
              </w:rPr>
            </w:pPr>
            <w:r>
              <w:rPr>
                <w:rFonts w:cs="Arial"/>
                <w:color w:val="000000"/>
              </w:rPr>
              <w:t>Inwoners die een schulddienstverleningstraject hebben bij de gemeente Zwolle</w:t>
            </w:r>
          </w:p>
        </w:tc>
        <w:tc>
          <w:tcPr>
            <w:tcW w:w="0" w:type="auto"/>
            <w:tcBorders>
              <w:top w:val="single" w:sz="6" w:space="0" w:color="476DB7"/>
              <w:left w:val="single" w:sz="6" w:space="0" w:color="476DB7"/>
              <w:bottom w:val="single" w:sz="6" w:space="0" w:color="476DB7"/>
              <w:right w:val="single" w:sz="6" w:space="0" w:color="476DB7"/>
            </w:tcBorders>
            <w:shd w:val="clear" w:color="auto" w:fill="FFFFFF"/>
            <w:tcMar>
              <w:top w:w="60" w:type="dxa"/>
              <w:left w:w="120" w:type="dxa"/>
              <w:bottom w:w="120" w:type="dxa"/>
              <w:right w:w="0" w:type="dxa"/>
            </w:tcMar>
          </w:tcPr>
          <w:p w14:paraId="3D571369" w14:textId="21EB2769" w:rsidR="00317A68" w:rsidRPr="00B6673F" w:rsidRDefault="00317A68" w:rsidP="00D452EE">
            <w:pPr>
              <w:adjustRightInd/>
              <w:spacing w:before="120" w:after="120" w:line="240" w:lineRule="auto"/>
              <w:ind w:left="240" w:right="240"/>
              <w:rPr>
                <w:rFonts w:cs="Arial"/>
                <w:color w:val="000000"/>
              </w:rPr>
            </w:pPr>
            <w:r w:rsidRPr="00B6673F">
              <w:rPr>
                <w:rFonts w:cs="Arial"/>
                <w:color w:val="000000"/>
              </w:rPr>
              <w:t>D</w:t>
            </w:r>
            <w:r w:rsidRPr="00D452EE">
              <w:rPr>
                <w:rFonts w:cs="Arial"/>
                <w:color w:val="000000"/>
              </w:rPr>
              <w:t xml:space="preserve">e toeslag </w:t>
            </w:r>
            <w:r w:rsidRPr="00B6673F">
              <w:rPr>
                <w:rFonts w:cs="Arial"/>
                <w:color w:val="000000"/>
              </w:rPr>
              <w:t xml:space="preserve">hoeft men </w:t>
            </w:r>
            <w:r w:rsidRPr="00D452EE">
              <w:rPr>
                <w:rFonts w:cs="Arial"/>
                <w:color w:val="000000"/>
              </w:rPr>
              <w:t xml:space="preserve">niet aan te vragen en </w:t>
            </w:r>
            <w:r w:rsidRPr="00B6673F">
              <w:rPr>
                <w:rFonts w:cs="Arial"/>
                <w:color w:val="000000"/>
              </w:rPr>
              <w:t xml:space="preserve">men </w:t>
            </w:r>
            <w:r w:rsidRPr="00D452EE">
              <w:rPr>
                <w:rFonts w:cs="Arial"/>
                <w:color w:val="000000"/>
              </w:rPr>
              <w:t>krijgt deze vanzelf</w:t>
            </w:r>
          </w:p>
        </w:tc>
      </w:tr>
      <w:tr w:rsidR="00317A68" w:rsidRPr="00B6673F" w14:paraId="2DF4D031" w14:textId="77777777" w:rsidTr="004B0B57">
        <w:tc>
          <w:tcPr>
            <w:tcW w:w="0" w:type="auto"/>
            <w:tcBorders>
              <w:top w:val="single" w:sz="6" w:space="0" w:color="476DB7"/>
              <w:left w:val="single" w:sz="6" w:space="0" w:color="476DB7"/>
              <w:bottom w:val="single" w:sz="6" w:space="0" w:color="476DB7"/>
              <w:right w:val="single" w:sz="6" w:space="0" w:color="476DB7"/>
            </w:tcBorders>
            <w:shd w:val="clear" w:color="auto" w:fill="FFFFFF"/>
            <w:tcMar>
              <w:top w:w="120" w:type="dxa"/>
              <w:left w:w="0" w:type="dxa"/>
              <w:bottom w:w="60" w:type="dxa"/>
              <w:right w:w="120" w:type="dxa"/>
            </w:tcMar>
          </w:tcPr>
          <w:p w14:paraId="0F32B157" w14:textId="773B1357" w:rsidR="00317A68" w:rsidRDefault="00317A68" w:rsidP="00D452EE">
            <w:pPr>
              <w:adjustRightInd/>
              <w:spacing w:before="120" w:after="120" w:line="240" w:lineRule="auto"/>
              <w:ind w:left="240" w:right="240"/>
              <w:rPr>
                <w:rFonts w:cs="Arial"/>
                <w:color w:val="000000"/>
              </w:rPr>
            </w:pPr>
            <w:r>
              <w:rPr>
                <w:rFonts w:cs="Arial"/>
                <w:color w:val="000000"/>
              </w:rPr>
              <w:t xml:space="preserve">Inwoners die elke maand bijzondere bijstand van de gemeente Zwolle krijgen (bijvoorbeeld voor kosten van </w:t>
            </w:r>
            <w:proofErr w:type="spellStart"/>
            <w:r>
              <w:rPr>
                <w:rFonts w:cs="Arial"/>
                <w:color w:val="000000"/>
              </w:rPr>
              <w:t>bewindvoering</w:t>
            </w:r>
            <w:proofErr w:type="spellEnd"/>
            <w:r>
              <w:rPr>
                <w:rFonts w:cs="Arial"/>
                <w:color w:val="000000"/>
              </w:rPr>
              <w:t>)</w:t>
            </w:r>
          </w:p>
        </w:tc>
        <w:tc>
          <w:tcPr>
            <w:tcW w:w="0" w:type="auto"/>
            <w:tcBorders>
              <w:top w:val="single" w:sz="6" w:space="0" w:color="476DB7"/>
              <w:left w:val="single" w:sz="6" w:space="0" w:color="476DB7"/>
              <w:bottom w:val="single" w:sz="6" w:space="0" w:color="476DB7"/>
              <w:right w:val="single" w:sz="6" w:space="0" w:color="476DB7"/>
            </w:tcBorders>
            <w:shd w:val="clear" w:color="auto" w:fill="FFFFFF"/>
            <w:tcMar>
              <w:top w:w="60" w:type="dxa"/>
              <w:left w:w="120" w:type="dxa"/>
              <w:bottom w:w="120" w:type="dxa"/>
              <w:right w:w="0" w:type="dxa"/>
            </w:tcMar>
          </w:tcPr>
          <w:p w14:paraId="26C9FCD2" w14:textId="118EC2DD" w:rsidR="00317A68" w:rsidRPr="00B6673F" w:rsidRDefault="00317A68" w:rsidP="00D452EE">
            <w:pPr>
              <w:adjustRightInd/>
              <w:spacing w:before="120" w:after="120" w:line="240" w:lineRule="auto"/>
              <w:ind w:left="240" w:right="240"/>
              <w:rPr>
                <w:rFonts w:cs="Arial"/>
                <w:color w:val="000000"/>
              </w:rPr>
            </w:pPr>
            <w:r w:rsidRPr="00B6673F">
              <w:rPr>
                <w:rFonts w:cs="Arial"/>
                <w:color w:val="000000"/>
              </w:rPr>
              <w:t>D</w:t>
            </w:r>
            <w:r w:rsidRPr="00D452EE">
              <w:rPr>
                <w:rFonts w:cs="Arial"/>
                <w:color w:val="000000"/>
              </w:rPr>
              <w:t xml:space="preserve">e toeslag </w:t>
            </w:r>
            <w:r w:rsidRPr="00B6673F">
              <w:rPr>
                <w:rFonts w:cs="Arial"/>
                <w:color w:val="000000"/>
              </w:rPr>
              <w:t xml:space="preserve">hoeft men </w:t>
            </w:r>
            <w:r w:rsidRPr="00D452EE">
              <w:rPr>
                <w:rFonts w:cs="Arial"/>
                <w:color w:val="000000"/>
              </w:rPr>
              <w:t xml:space="preserve">niet aan te vragen en </w:t>
            </w:r>
            <w:r w:rsidRPr="00B6673F">
              <w:rPr>
                <w:rFonts w:cs="Arial"/>
                <w:color w:val="000000"/>
              </w:rPr>
              <w:t xml:space="preserve">men </w:t>
            </w:r>
            <w:r w:rsidRPr="00D452EE">
              <w:rPr>
                <w:rFonts w:cs="Arial"/>
                <w:color w:val="000000"/>
              </w:rPr>
              <w:t>krijgt deze vanzelf</w:t>
            </w:r>
          </w:p>
        </w:tc>
      </w:tr>
      <w:tr w:rsidR="00317A68" w:rsidRPr="00B6673F" w14:paraId="500119B8" w14:textId="77777777" w:rsidTr="004B0B57">
        <w:tc>
          <w:tcPr>
            <w:tcW w:w="0" w:type="auto"/>
            <w:tcBorders>
              <w:top w:val="single" w:sz="6" w:space="0" w:color="476DB7"/>
              <w:left w:val="single" w:sz="6" w:space="0" w:color="476DB7"/>
              <w:bottom w:val="single" w:sz="6" w:space="0" w:color="476DB7"/>
              <w:right w:val="single" w:sz="6" w:space="0" w:color="476DB7"/>
            </w:tcBorders>
            <w:shd w:val="clear" w:color="auto" w:fill="FFFFFF"/>
            <w:tcMar>
              <w:top w:w="120" w:type="dxa"/>
              <w:left w:w="0" w:type="dxa"/>
              <w:bottom w:w="60" w:type="dxa"/>
              <w:right w:w="120" w:type="dxa"/>
            </w:tcMar>
            <w:hideMark/>
          </w:tcPr>
          <w:p w14:paraId="61473E83" w14:textId="70883E5E" w:rsidR="00D452EE" w:rsidRPr="00D452EE" w:rsidRDefault="00D452EE" w:rsidP="00D452EE">
            <w:pPr>
              <w:adjustRightInd/>
              <w:spacing w:after="240" w:line="240" w:lineRule="auto"/>
              <w:ind w:left="240" w:right="240"/>
              <w:rPr>
                <w:rFonts w:cs="Arial"/>
                <w:color w:val="000000"/>
              </w:rPr>
            </w:pPr>
            <w:r w:rsidRPr="00B6673F">
              <w:rPr>
                <w:rFonts w:cs="Arial"/>
                <w:color w:val="000000"/>
              </w:rPr>
              <w:t>Inwoners die</w:t>
            </w:r>
            <w:r w:rsidRPr="00D452EE">
              <w:rPr>
                <w:rFonts w:cs="Arial"/>
                <w:color w:val="000000"/>
              </w:rPr>
              <w:t xml:space="preserve"> </w:t>
            </w:r>
            <w:r w:rsidR="00317A68">
              <w:rPr>
                <w:rFonts w:cs="Arial"/>
                <w:color w:val="000000"/>
              </w:rPr>
              <w:t xml:space="preserve">in 2021 of 2022 </w:t>
            </w:r>
            <w:r w:rsidRPr="00D452EE">
              <w:rPr>
                <w:rFonts w:cs="Arial"/>
                <w:color w:val="000000"/>
              </w:rPr>
              <w:t xml:space="preserve">een </w:t>
            </w:r>
            <w:r w:rsidR="00317A68">
              <w:rPr>
                <w:rFonts w:cs="Arial"/>
                <w:color w:val="000000"/>
              </w:rPr>
              <w:t xml:space="preserve">vergoeding </w:t>
            </w:r>
            <w:r w:rsidRPr="00D452EE">
              <w:rPr>
                <w:rFonts w:cs="Arial"/>
                <w:color w:val="000000"/>
              </w:rPr>
              <w:t xml:space="preserve">van de gemeente Zwolle </w:t>
            </w:r>
            <w:r w:rsidR="00317A68">
              <w:rPr>
                <w:rFonts w:cs="Arial"/>
                <w:color w:val="000000"/>
              </w:rPr>
              <w:t xml:space="preserve">hebben </w:t>
            </w:r>
            <w:r w:rsidRPr="00D452EE">
              <w:rPr>
                <w:rFonts w:cs="Arial"/>
                <w:color w:val="000000"/>
              </w:rPr>
              <w:t>ontvangen, zoals:</w:t>
            </w:r>
          </w:p>
          <w:p w14:paraId="05360FE5" w14:textId="0A5B6179" w:rsidR="00D452EE" w:rsidRPr="00D452EE" w:rsidRDefault="00317A68" w:rsidP="00D452EE">
            <w:pPr>
              <w:numPr>
                <w:ilvl w:val="0"/>
                <w:numId w:val="22"/>
              </w:numPr>
              <w:adjustRightInd/>
              <w:spacing w:before="100" w:beforeAutospacing="1" w:after="60" w:line="384" w:lineRule="atLeast"/>
              <w:ind w:left="960" w:right="240"/>
              <w:rPr>
                <w:rFonts w:cs="Arial"/>
                <w:color w:val="000000"/>
              </w:rPr>
            </w:pPr>
            <w:r>
              <w:rPr>
                <w:rFonts w:cs="Arial"/>
                <w:color w:val="000000"/>
              </w:rPr>
              <w:t xml:space="preserve">geld uit </w:t>
            </w:r>
            <w:r w:rsidR="00D452EE" w:rsidRPr="00D452EE">
              <w:rPr>
                <w:rFonts w:cs="Arial"/>
                <w:color w:val="000000"/>
              </w:rPr>
              <w:t>het Participatiefonds</w:t>
            </w:r>
          </w:p>
          <w:p w14:paraId="060C71AD" w14:textId="0273EF42" w:rsidR="00D452EE" w:rsidRPr="00D452EE" w:rsidRDefault="00D452EE" w:rsidP="00D452EE">
            <w:pPr>
              <w:numPr>
                <w:ilvl w:val="0"/>
                <w:numId w:val="22"/>
              </w:numPr>
              <w:adjustRightInd/>
              <w:spacing w:before="100" w:beforeAutospacing="1" w:after="60" w:line="384" w:lineRule="atLeast"/>
              <w:ind w:left="960" w:right="240"/>
              <w:rPr>
                <w:rFonts w:cs="Arial"/>
                <w:color w:val="000000"/>
              </w:rPr>
            </w:pPr>
            <w:r w:rsidRPr="00D452EE">
              <w:rPr>
                <w:rFonts w:cs="Arial"/>
                <w:color w:val="000000"/>
              </w:rPr>
              <w:t xml:space="preserve">de </w:t>
            </w:r>
            <w:r w:rsidR="00317A68">
              <w:rPr>
                <w:rFonts w:cs="Arial"/>
                <w:color w:val="000000"/>
              </w:rPr>
              <w:t xml:space="preserve">Vergoeding hoge zorgkosten of de </w:t>
            </w:r>
            <w:r w:rsidRPr="00D452EE">
              <w:rPr>
                <w:rFonts w:cs="Arial"/>
                <w:color w:val="000000"/>
              </w:rPr>
              <w:t>Zorgkostenvergoeding</w:t>
            </w:r>
          </w:p>
          <w:p w14:paraId="0022BFD0" w14:textId="77777777" w:rsidR="00D452EE" w:rsidRDefault="00D452EE" w:rsidP="00D452EE">
            <w:pPr>
              <w:numPr>
                <w:ilvl w:val="0"/>
                <w:numId w:val="22"/>
              </w:numPr>
              <w:adjustRightInd/>
              <w:spacing w:before="100" w:beforeAutospacing="1" w:after="60" w:line="384" w:lineRule="atLeast"/>
              <w:ind w:left="960" w:right="240"/>
              <w:rPr>
                <w:rFonts w:cs="Arial"/>
                <w:color w:val="000000"/>
              </w:rPr>
            </w:pPr>
            <w:r w:rsidRPr="00D452EE">
              <w:rPr>
                <w:rFonts w:cs="Arial"/>
                <w:color w:val="000000"/>
              </w:rPr>
              <w:t xml:space="preserve">de </w:t>
            </w:r>
            <w:r w:rsidR="00317A68">
              <w:rPr>
                <w:rFonts w:cs="Arial"/>
                <w:color w:val="000000"/>
              </w:rPr>
              <w:t>I</w:t>
            </w:r>
            <w:r w:rsidRPr="00D452EE">
              <w:rPr>
                <w:rFonts w:cs="Arial"/>
                <w:color w:val="000000"/>
              </w:rPr>
              <w:t xml:space="preserve">ndividuele </w:t>
            </w:r>
            <w:r w:rsidR="00317A68">
              <w:rPr>
                <w:rFonts w:cs="Arial"/>
                <w:color w:val="000000"/>
              </w:rPr>
              <w:t>I</w:t>
            </w:r>
            <w:r w:rsidRPr="00D452EE">
              <w:rPr>
                <w:rFonts w:cs="Arial"/>
                <w:color w:val="000000"/>
              </w:rPr>
              <w:t>nkomenstoeslag</w:t>
            </w:r>
          </w:p>
          <w:p w14:paraId="2671B724" w14:textId="5AE357EB" w:rsidR="00317A68" w:rsidRPr="00D452EE" w:rsidRDefault="00317A68" w:rsidP="00D452EE">
            <w:pPr>
              <w:numPr>
                <w:ilvl w:val="0"/>
                <w:numId w:val="22"/>
              </w:numPr>
              <w:adjustRightInd/>
              <w:spacing w:before="100" w:beforeAutospacing="1" w:after="60" w:line="384" w:lineRule="atLeast"/>
              <w:ind w:left="960" w:right="240"/>
              <w:rPr>
                <w:rFonts w:cs="Arial"/>
                <w:color w:val="000000"/>
              </w:rPr>
            </w:pPr>
            <w:r>
              <w:rPr>
                <w:rFonts w:cs="Arial"/>
                <w:color w:val="000000"/>
              </w:rPr>
              <w:t>bijzondere bijstand voor medische kosten</w:t>
            </w:r>
          </w:p>
        </w:tc>
        <w:tc>
          <w:tcPr>
            <w:tcW w:w="0" w:type="auto"/>
            <w:tcBorders>
              <w:top w:val="single" w:sz="6" w:space="0" w:color="476DB7"/>
              <w:left w:val="single" w:sz="6" w:space="0" w:color="476DB7"/>
              <w:bottom w:val="single" w:sz="6" w:space="0" w:color="476DB7"/>
              <w:right w:val="single" w:sz="6" w:space="0" w:color="476DB7"/>
            </w:tcBorders>
            <w:shd w:val="clear" w:color="auto" w:fill="FFFFFF"/>
            <w:tcMar>
              <w:top w:w="60" w:type="dxa"/>
              <w:left w:w="120" w:type="dxa"/>
              <w:bottom w:w="120" w:type="dxa"/>
              <w:right w:w="0" w:type="dxa"/>
            </w:tcMar>
            <w:hideMark/>
          </w:tcPr>
          <w:p w14:paraId="738BA9E1" w14:textId="346C40D0" w:rsidR="00D452EE" w:rsidRPr="00D452EE" w:rsidRDefault="00D452EE" w:rsidP="00D452EE">
            <w:pPr>
              <w:adjustRightInd/>
              <w:spacing w:before="120" w:after="120" w:line="240" w:lineRule="auto"/>
              <w:ind w:left="240" w:right="240"/>
              <w:rPr>
                <w:rFonts w:cs="Arial"/>
                <w:color w:val="000000"/>
              </w:rPr>
            </w:pPr>
            <w:r w:rsidRPr="00B6673F">
              <w:rPr>
                <w:rFonts w:cs="Arial"/>
                <w:color w:val="000000"/>
              </w:rPr>
              <w:t>D</w:t>
            </w:r>
            <w:r w:rsidRPr="00D452EE">
              <w:rPr>
                <w:rFonts w:cs="Arial"/>
                <w:color w:val="000000"/>
              </w:rPr>
              <w:t xml:space="preserve">e toeslag </w:t>
            </w:r>
            <w:r w:rsidRPr="00B6673F">
              <w:rPr>
                <w:rFonts w:cs="Arial"/>
                <w:color w:val="000000"/>
              </w:rPr>
              <w:t xml:space="preserve">hoeft men </w:t>
            </w:r>
            <w:r w:rsidRPr="00D452EE">
              <w:rPr>
                <w:rFonts w:cs="Arial"/>
                <w:color w:val="000000"/>
              </w:rPr>
              <w:t xml:space="preserve">niet aan te vragen en </w:t>
            </w:r>
            <w:r w:rsidRPr="00B6673F">
              <w:rPr>
                <w:rFonts w:cs="Arial"/>
                <w:color w:val="000000"/>
              </w:rPr>
              <w:t xml:space="preserve">men </w:t>
            </w:r>
            <w:r w:rsidRPr="00D452EE">
              <w:rPr>
                <w:rFonts w:cs="Arial"/>
                <w:color w:val="000000"/>
              </w:rPr>
              <w:t>krijgt deze vanzelf</w:t>
            </w:r>
          </w:p>
        </w:tc>
      </w:tr>
      <w:tr w:rsidR="00317A68" w:rsidRPr="00B6673F" w14:paraId="5DA09B96" w14:textId="77777777" w:rsidTr="004B0B57">
        <w:tc>
          <w:tcPr>
            <w:tcW w:w="0" w:type="auto"/>
            <w:tcBorders>
              <w:top w:val="single" w:sz="6" w:space="0" w:color="476DB7"/>
              <w:left w:val="single" w:sz="6" w:space="0" w:color="476DB7"/>
              <w:bottom w:val="single" w:sz="6" w:space="0" w:color="476DB7"/>
              <w:right w:val="single" w:sz="6" w:space="0" w:color="476DB7"/>
            </w:tcBorders>
            <w:shd w:val="clear" w:color="auto" w:fill="FFFFFF"/>
            <w:tcMar>
              <w:top w:w="120" w:type="dxa"/>
              <w:left w:w="0" w:type="dxa"/>
              <w:bottom w:w="60" w:type="dxa"/>
              <w:right w:w="120" w:type="dxa"/>
            </w:tcMar>
            <w:hideMark/>
          </w:tcPr>
          <w:p w14:paraId="554480C8" w14:textId="6C683B20" w:rsidR="00D452EE" w:rsidRPr="00D452EE" w:rsidRDefault="00D452EE" w:rsidP="00D452EE">
            <w:pPr>
              <w:adjustRightInd/>
              <w:spacing w:before="120" w:after="120" w:line="240" w:lineRule="auto"/>
              <w:ind w:left="240" w:right="240"/>
              <w:rPr>
                <w:rFonts w:cs="Arial"/>
                <w:color w:val="000000"/>
              </w:rPr>
            </w:pPr>
            <w:r w:rsidRPr="00B6673F">
              <w:rPr>
                <w:rFonts w:cs="Arial"/>
                <w:color w:val="000000"/>
              </w:rPr>
              <w:t>Inwoners met</w:t>
            </w:r>
            <w:r w:rsidRPr="00D452EE">
              <w:rPr>
                <w:rFonts w:cs="Arial"/>
                <w:color w:val="000000"/>
              </w:rPr>
              <w:t xml:space="preserve"> een inkomen tot 130% van de geldende bijstandsnorm</w:t>
            </w:r>
          </w:p>
        </w:tc>
        <w:tc>
          <w:tcPr>
            <w:tcW w:w="0" w:type="auto"/>
            <w:tcBorders>
              <w:top w:val="single" w:sz="6" w:space="0" w:color="476DB7"/>
              <w:left w:val="single" w:sz="6" w:space="0" w:color="476DB7"/>
              <w:bottom w:val="single" w:sz="6" w:space="0" w:color="476DB7"/>
              <w:right w:val="single" w:sz="6" w:space="0" w:color="476DB7"/>
            </w:tcBorders>
            <w:shd w:val="clear" w:color="auto" w:fill="FFFFFF"/>
            <w:tcMar>
              <w:top w:w="60" w:type="dxa"/>
              <w:left w:w="120" w:type="dxa"/>
              <w:bottom w:w="120" w:type="dxa"/>
              <w:right w:w="0" w:type="dxa"/>
            </w:tcMar>
            <w:hideMark/>
          </w:tcPr>
          <w:p w14:paraId="400D69CC" w14:textId="5D2851FD" w:rsidR="00D452EE" w:rsidRPr="00D452EE" w:rsidRDefault="00D452EE" w:rsidP="00D452EE">
            <w:pPr>
              <w:adjustRightInd/>
              <w:spacing w:before="120" w:after="120" w:line="240" w:lineRule="auto"/>
              <w:ind w:left="240" w:right="240"/>
              <w:rPr>
                <w:rFonts w:cs="Arial"/>
                <w:color w:val="000000"/>
              </w:rPr>
            </w:pPr>
            <w:r w:rsidRPr="00B6673F">
              <w:rPr>
                <w:rFonts w:cs="Arial"/>
                <w:color w:val="000000"/>
              </w:rPr>
              <w:t>Men</w:t>
            </w:r>
            <w:r w:rsidRPr="00D452EE">
              <w:rPr>
                <w:rFonts w:cs="Arial"/>
                <w:color w:val="000000"/>
              </w:rPr>
              <w:t xml:space="preserve"> moet de toeslag zelf aanvragen</w:t>
            </w:r>
          </w:p>
        </w:tc>
      </w:tr>
      <w:tr w:rsidR="00317A68" w:rsidRPr="00B6673F" w14:paraId="4C2B6537" w14:textId="77777777" w:rsidTr="004B0B57">
        <w:tc>
          <w:tcPr>
            <w:tcW w:w="0" w:type="auto"/>
            <w:tcBorders>
              <w:top w:val="single" w:sz="6" w:space="0" w:color="476DB7"/>
              <w:left w:val="single" w:sz="6" w:space="0" w:color="476DB7"/>
              <w:bottom w:val="single" w:sz="6" w:space="0" w:color="476DB7"/>
              <w:right w:val="single" w:sz="6" w:space="0" w:color="476DB7"/>
            </w:tcBorders>
            <w:shd w:val="clear" w:color="auto" w:fill="F7F7F7"/>
            <w:tcMar>
              <w:top w:w="120" w:type="dxa"/>
              <w:left w:w="0" w:type="dxa"/>
              <w:bottom w:w="60" w:type="dxa"/>
              <w:right w:w="120" w:type="dxa"/>
            </w:tcMar>
            <w:hideMark/>
          </w:tcPr>
          <w:p w14:paraId="757DB995" w14:textId="2737D447" w:rsidR="00D452EE" w:rsidRPr="00D452EE" w:rsidRDefault="00D452EE" w:rsidP="00D452EE">
            <w:pPr>
              <w:adjustRightInd/>
              <w:spacing w:before="120" w:after="120" w:line="240" w:lineRule="auto"/>
              <w:ind w:left="240" w:right="240"/>
              <w:rPr>
                <w:rFonts w:cs="Arial"/>
                <w:color w:val="000000"/>
              </w:rPr>
            </w:pPr>
            <w:r w:rsidRPr="00B6673F">
              <w:rPr>
                <w:rFonts w:cs="Arial"/>
                <w:color w:val="000000"/>
              </w:rPr>
              <w:t>Inwoners met</w:t>
            </w:r>
            <w:r w:rsidRPr="00D452EE">
              <w:rPr>
                <w:rFonts w:cs="Arial"/>
                <w:color w:val="000000"/>
              </w:rPr>
              <w:t xml:space="preserve"> een IOW-uitkering</w:t>
            </w:r>
          </w:p>
        </w:tc>
        <w:tc>
          <w:tcPr>
            <w:tcW w:w="0" w:type="auto"/>
            <w:tcBorders>
              <w:top w:val="single" w:sz="6" w:space="0" w:color="476DB7"/>
              <w:left w:val="single" w:sz="6" w:space="0" w:color="476DB7"/>
              <w:bottom w:val="single" w:sz="6" w:space="0" w:color="476DB7"/>
              <w:right w:val="single" w:sz="6" w:space="0" w:color="476DB7"/>
            </w:tcBorders>
            <w:shd w:val="clear" w:color="auto" w:fill="F7F7F7"/>
            <w:tcMar>
              <w:top w:w="60" w:type="dxa"/>
              <w:left w:w="120" w:type="dxa"/>
              <w:bottom w:w="120" w:type="dxa"/>
              <w:right w:w="0" w:type="dxa"/>
            </w:tcMar>
            <w:hideMark/>
          </w:tcPr>
          <w:p w14:paraId="73457F23" w14:textId="085E403A" w:rsidR="00D452EE" w:rsidRPr="00D452EE" w:rsidRDefault="00D452EE" w:rsidP="00D452EE">
            <w:pPr>
              <w:adjustRightInd/>
              <w:spacing w:before="120" w:after="120" w:line="240" w:lineRule="auto"/>
              <w:ind w:left="240" w:right="240"/>
              <w:rPr>
                <w:rFonts w:cs="Arial"/>
                <w:color w:val="000000"/>
              </w:rPr>
            </w:pPr>
            <w:r w:rsidRPr="00B6673F">
              <w:rPr>
                <w:rFonts w:cs="Arial"/>
                <w:color w:val="000000"/>
              </w:rPr>
              <w:t>Men</w:t>
            </w:r>
            <w:r w:rsidRPr="00D452EE">
              <w:rPr>
                <w:rFonts w:cs="Arial"/>
                <w:color w:val="000000"/>
              </w:rPr>
              <w:t xml:space="preserve"> moet de toeslag zelf aanvragen</w:t>
            </w:r>
          </w:p>
        </w:tc>
      </w:tr>
      <w:tr w:rsidR="00317A68" w:rsidRPr="00B6673F" w14:paraId="6F9AF000" w14:textId="77777777" w:rsidTr="004B0B57">
        <w:tc>
          <w:tcPr>
            <w:tcW w:w="0" w:type="auto"/>
            <w:tcBorders>
              <w:top w:val="single" w:sz="6" w:space="0" w:color="476DB7"/>
              <w:left w:val="single" w:sz="6" w:space="0" w:color="476DB7"/>
              <w:bottom w:val="single" w:sz="6" w:space="0" w:color="476DB7"/>
              <w:right w:val="single" w:sz="6" w:space="0" w:color="476DB7"/>
            </w:tcBorders>
            <w:shd w:val="clear" w:color="auto" w:fill="FFFFFF"/>
            <w:tcMar>
              <w:top w:w="120" w:type="dxa"/>
              <w:left w:w="0" w:type="dxa"/>
              <w:bottom w:w="60" w:type="dxa"/>
              <w:right w:w="120" w:type="dxa"/>
            </w:tcMar>
            <w:hideMark/>
          </w:tcPr>
          <w:p w14:paraId="37D6C06E" w14:textId="2359184C" w:rsidR="00D452EE" w:rsidRPr="00D452EE" w:rsidRDefault="00D452EE" w:rsidP="00D452EE">
            <w:pPr>
              <w:adjustRightInd/>
              <w:spacing w:before="120" w:after="120" w:line="240" w:lineRule="auto"/>
              <w:ind w:left="240" w:right="240"/>
              <w:rPr>
                <w:rFonts w:cs="Arial"/>
                <w:color w:val="000000"/>
              </w:rPr>
            </w:pPr>
            <w:r w:rsidRPr="00B6673F">
              <w:rPr>
                <w:rFonts w:cs="Arial"/>
                <w:color w:val="000000"/>
              </w:rPr>
              <w:lastRenderedPageBreak/>
              <w:t>Inwoners met</w:t>
            </w:r>
            <w:r w:rsidRPr="00D452EE">
              <w:rPr>
                <w:rFonts w:cs="Arial"/>
                <w:color w:val="000000"/>
              </w:rPr>
              <w:t xml:space="preserve"> alleen AOW en geen recht op aanvullend pensioen</w:t>
            </w:r>
          </w:p>
        </w:tc>
        <w:tc>
          <w:tcPr>
            <w:tcW w:w="0" w:type="auto"/>
            <w:tcBorders>
              <w:top w:val="single" w:sz="6" w:space="0" w:color="476DB7"/>
              <w:left w:val="single" w:sz="6" w:space="0" w:color="476DB7"/>
              <w:bottom w:val="single" w:sz="6" w:space="0" w:color="476DB7"/>
              <w:right w:val="single" w:sz="6" w:space="0" w:color="476DB7"/>
            </w:tcBorders>
            <w:shd w:val="clear" w:color="auto" w:fill="FFFFFF"/>
            <w:tcMar>
              <w:top w:w="60" w:type="dxa"/>
              <w:left w:w="120" w:type="dxa"/>
              <w:bottom w:w="120" w:type="dxa"/>
              <w:right w:w="0" w:type="dxa"/>
            </w:tcMar>
            <w:hideMark/>
          </w:tcPr>
          <w:p w14:paraId="44A10072" w14:textId="0A206FF0" w:rsidR="00D452EE" w:rsidRPr="00D452EE" w:rsidRDefault="00D452EE" w:rsidP="00D452EE">
            <w:pPr>
              <w:adjustRightInd/>
              <w:spacing w:before="120" w:after="120" w:line="240" w:lineRule="auto"/>
              <w:ind w:left="240" w:right="240"/>
              <w:rPr>
                <w:rFonts w:cs="Arial"/>
                <w:color w:val="000000"/>
              </w:rPr>
            </w:pPr>
            <w:r w:rsidRPr="00B6673F">
              <w:rPr>
                <w:rFonts w:cs="Arial"/>
                <w:color w:val="000000"/>
              </w:rPr>
              <w:t>Men</w:t>
            </w:r>
            <w:r w:rsidRPr="00D452EE">
              <w:rPr>
                <w:rFonts w:cs="Arial"/>
                <w:color w:val="000000"/>
              </w:rPr>
              <w:t xml:space="preserve"> moet de toeslag zelf aanvragen</w:t>
            </w:r>
          </w:p>
        </w:tc>
      </w:tr>
      <w:tr w:rsidR="00317A68" w:rsidRPr="00B6673F" w14:paraId="6EACD1E5" w14:textId="77777777" w:rsidTr="004B0B57">
        <w:tc>
          <w:tcPr>
            <w:tcW w:w="0" w:type="auto"/>
            <w:tcBorders>
              <w:top w:val="single" w:sz="6" w:space="0" w:color="476DB7"/>
              <w:left w:val="single" w:sz="6" w:space="0" w:color="476DB7"/>
              <w:bottom w:val="single" w:sz="6" w:space="0" w:color="476DB7"/>
              <w:right w:val="single" w:sz="6" w:space="0" w:color="476DB7"/>
            </w:tcBorders>
            <w:shd w:val="clear" w:color="auto" w:fill="FFFFFF"/>
            <w:tcMar>
              <w:top w:w="120" w:type="dxa"/>
              <w:left w:w="0" w:type="dxa"/>
              <w:bottom w:w="60" w:type="dxa"/>
              <w:right w:w="120" w:type="dxa"/>
            </w:tcMar>
            <w:hideMark/>
          </w:tcPr>
          <w:p w14:paraId="25F620FE" w14:textId="76EE51B7" w:rsidR="00D452EE" w:rsidRPr="00D452EE" w:rsidRDefault="00D452EE" w:rsidP="00D452EE">
            <w:pPr>
              <w:adjustRightInd/>
              <w:spacing w:before="120" w:after="120" w:line="240" w:lineRule="auto"/>
              <w:ind w:left="240" w:right="240"/>
              <w:rPr>
                <w:rFonts w:cs="Arial"/>
                <w:color w:val="000000"/>
              </w:rPr>
            </w:pPr>
            <w:r w:rsidRPr="00B6673F">
              <w:rPr>
                <w:rFonts w:cs="Arial"/>
                <w:color w:val="000000"/>
              </w:rPr>
              <w:t>Zelfstandigen met</w:t>
            </w:r>
            <w:r w:rsidRPr="00D452EE">
              <w:rPr>
                <w:rFonts w:cs="Arial"/>
                <w:color w:val="000000"/>
              </w:rPr>
              <w:t xml:space="preserve"> een laag inkomen</w:t>
            </w:r>
          </w:p>
        </w:tc>
        <w:tc>
          <w:tcPr>
            <w:tcW w:w="0" w:type="auto"/>
            <w:tcBorders>
              <w:top w:val="single" w:sz="6" w:space="0" w:color="476DB7"/>
              <w:left w:val="single" w:sz="6" w:space="0" w:color="476DB7"/>
              <w:bottom w:val="single" w:sz="6" w:space="0" w:color="476DB7"/>
              <w:right w:val="single" w:sz="6" w:space="0" w:color="476DB7"/>
            </w:tcBorders>
            <w:shd w:val="clear" w:color="auto" w:fill="FFFFFF"/>
            <w:tcMar>
              <w:top w:w="60" w:type="dxa"/>
              <w:left w:w="120" w:type="dxa"/>
              <w:bottom w:w="120" w:type="dxa"/>
              <w:right w:w="0" w:type="dxa"/>
            </w:tcMar>
            <w:hideMark/>
          </w:tcPr>
          <w:p w14:paraId="6E5C86D0" w14:textId="1D0EF20A" w:rsidR="00D452EE" w:rsidRPr="00D452EE" w:rsidRDefault="00D452EE" w:rsidP="00D452EE">
            <w:pPr>
              <w:adjustRightInd/>
              <w:spacing w:before="120" w:after="120" w:line="240" w:lineRule="auto"/>
              <w:ind w:left="240" w:right="240"/>
              <w:rPr>
                <w:rFonts w:cs="Arial"/>
                <w:color w:val="000000"/>
              </w:rPr>
            </w:pPr>
            <w:r w:rsidRPr="00B6673F">
              <w:rPr>
                <w:rFonts w:cs="Arial"/>
                <w:color w:val="000000"/>
              </w:rPr>
              <w:t>Men</w:t>
            </w:r>
            <w:r w:rsidRPr="00D452EE">
              <w:rPr>
                <w:rFonts w:cs="Arial"/>
                <w:color w:val="000000"/>
              </w:rPr>
              <w:t xml:space="preserve"> moet de toeslag zelf aanvragen</w:t>
            </w:r>
          </w:p>
        </w:tc>
      </w:tr>
    </w:tbl>
    <w:p w14:paraId="7D3008CE" w14:textId="66577AC6" w:rsidR="00D452EE" w:rsidRPr="00B6673F" w:rsidRDefault="00D452EE" w:rsidP="002A2ED0">
      <w:pPr>
        <w:rPr>
          <w:rFonts w:cs="Arial"/>
        </w:rPr>
      </w:pPr>
    </w:p>
    <w:p w14:paraId="450DE39B" w14:textId="0D77A2B0" w:rsidR="00E273FC" w:rsidRPr="00B6673F" w:rsidRDefault="00E273FC" w:rsidP="00E273FC">
      <w:pPr>
        <w:pStyle w:val="Kop2"/>
        <w:rPr>
          <w:rFonts w:cs="Arial"/>
          <w:sz w:val="20"/>
        </w:rPr>
      </w:pPr>
      <w:r w:rsidRPr="00B6673F">
        <w:rPr>
          <w:rFonts w:cs="Arial"/>
          <w:sz w:val="20"/>
        </w:rPr>
        <w:t>Voorwaarden energietoeslag</w:t>
      </w:r>
    </w:p>
    <w:p w14:paraId="633021D1" w14:textId="77777777" w:rsidR="00E273FC" w:rsidRPr="00B6673F" w:rsidRDefault="00E273FC" w:rsidP="00E273FC">
      <w:pPr>
        <w:pStyle w:val="Normaalweb"/>
        <w:shd w:val="clear" w:color="auto" w:fill="FFFFFF"/>
        <w:spacing w:before="0" w:beforeAutospacing="0" w:after="240" w:afterAutospacing="0"/>
        <w:rPr>
          <w:rFonts w:ascii="Arial" w:hAnsi="Arial" w:cs="Arial"/>
          <w:color w:val="333333"/>
          <w:sz w:val="20"/>
          <w:szCs w:val="20"/>
        </w:rPr>
      </w:pPr>
      <w:r w:rsidRPr="00B6673F">
        <w:rPr>
          <w:rFonts w:ascii="Arial" w:hAnsi="Arial" w:cs="Arial"/>
          <w:color w:val="333333"/>
          <w:sz w:val="20"/>
          <w:szCs w:val="20"/>
        </w:rPr>
        <w:t>Dit zijn de voorwaarden voor de energietoeslag:</w:t>
      </w:r>
    </w:p>
    <w:p w14:paraId="488E3248" w14:textId="69BDFC51" w:rsidR="00E273FC" w:rsidRPr="00B6673F" w:rsidRDefault="00E273FC" w:rsidP="00E273FC">
      <w:pPr>
        <w:pStyle w:val="Kop3"/>
        <w:shd w:val="clear" w:color="auto" w:fill="FFFFFF"/>
        <w:spacing w:before="300" w:after="180"/>
        <w:rPr>
          <w:rFonts w:cs="Arial"/>
          <w:color w:val="476DB7"/>
        </w:rPr>
      </w:pPr>
      <w:r w:rsidRPr="00B6673F">
        <w:rPr>
          <w:rFonts w:cs="Arial"/>
          <w:color w:val="476DB7"/>
        </w:rPr>
        <w:t>1. 18 jaar of ouder</w:t>
      </w:r>
    </w:p>
    <w:p w14:paraId="122BC874" w14:textId="7DEF778C" w:rsidR="00E273FC" w:rsidRPr="00B6673F" w:rsidRDefault="00E273FC" w:rsidP="00E273FC">
      <w:pPr>
        <w:pStyle w:val="Normaalweb"/>
        <w:shd w:val="clear" w:color="auto" w:fill="FFFFFF"/>
        <w:spacing w:before="240" w:beforeAutospacing="0" w:after="240" w:afterAutospacing="0"/>
        <w:rPr>
          <w:rFonts w:ascii="Arial" w:hAnsi="Arial" w:cs="Arial"/>
          <w:color w:val="333333"/>
          <w:sz w:val="20"/>
          <w:szCs w:val="20"/>
        </w:rPr>
      </w:pPr>
      <w:r w:rsidRPr="00B6673F">
        <w:rPr>
          <w:rFonts w:ascii="Arial" w:hAnsi="Arial" w:cs="Arial"/>
          <w:color w:val="333333"/>
          <w:sz w:val="20"/>
          <w:szCs w:val="20"/>
        </w:rPr>
        <w:t>De aanvrager en eventuele partner zijn 18 jaar of ouder.</w:t>
      </w:r>
    </w:p>
    <w:p w14:paraId="34B5CAE1" w14:textId="5F35565C" w:rsidR="00E273FC" w:rsidRPr="00B6673F" w:rsidRDefault="00E273FC" w:rsidP="00E273FC">
      <w:pPr>
        <w:pStyle w:val="Kop3"/>
        <w:shd w:val="clear" w:color="auto" w:fill="FFFFFF"/>
        <w:spacing w:before="300" w:after="180"/>
        <w:rPr>
          <w:rFonts w:cs="Arial"/>
          <w:color w:val="476DB7"/>
        </w:rPr>
      </w:pPr>
      <w:r w:rsidRPr="00B6673F">
        <w:rPr>
          <w:rFonts w:cs="Arial"/>
          <w:color w:val="476DB7"/>
        </w:rPr>
        <w:t>2. Energiekosten</w:t>
      </w:r>
    </w:p>
    <w:p w14:paraId="3D34F12E" w14:textId="6F959250" w:rsidR="00E273FC" w:rsidRPr="00B6673F" w:rsidRDefault="00E273FC" w:rsidP="00E273FC">
      <w:pPr>
        <w:pStyle w:val="Normaalweb"/>
        <w:shd w:val="clear" w:color="auto" w:fill="FFFFFF"/>
        <w:spacing w:before="240" w:beforeAutospacing="0" w:after="240" w:afterAutospacing="0"/>
        <w:rPr>
          <w:rFonts w:ascii="Arial" w:hAnsi="Arial" w:cs="Arial"/>
          <w:color w:val="333333"/>
          <w:sz w:val="20"/>
          <w:szCs w:val="20"/>
        </w:rPr>
      </w:pPr>
      <w:r w:rsidRPr="00B6673F">
        <w:rPr>
          <w:rFonts w:ascii="Arial" w:hAnsi="Arial" w:cs="Arial"/>
          <w:color w:val="333333"/>
          <w:sz w:val="20"/>
          <w:szCs w:val="20"/>
        </w:rPr>
        <w:t>Men heeft energiekosten.</w:t>
      </w:r>
    </w:p>
    <w:p w14:paraId="33154A94" w14:textId="77777777" w:rsidR="00E273FC" w:rsidRPr="00B6673F" w:rsidRDefault="00E273FC" w:rsidP="00E273FC">
      <w:pPr>
        <w:pStyle w:val="Kop3"/>
        <w:shd w:val="clear" w:color="auto" w:fill="FFFFFF"/>
        <w:spacing w:before="300" w:after="180"/>
        <w:rPr>
          <w:rFonts w:cs="Arial"/>
          <w:color w:val="476DB7"/>
        </w:rPr>
      </w:pPr>
      <w:r w:rsidRPr="00B6673F">
        <w:rPr>
          <w:rFonts w:cs="Arial"/>
          <w:color w:val="476DB7"/>
        </w:rPr>
        <w:t>3. Inkomen</w:t>
      </w:r>
    </w:p>
    <w:p w14:paraId="52DAD393" w14:textId="0EB5A91F" w:rsidR="00E273FC" w:rsidRPr="00B6673F" w:rsidRDefault="00E273FC" w:rsidP="00E273FC">
      <w:pPr>
        <w:pStyle w:val="Normaalweb"/>
        <w:shd w:val="clear" w:color="auto" w:fill="FFFFFF"/>
        <w:spacing w:before="240" w:beforeAutospacing="0" w:after="240" w:afterAutospacing="0"/>
        <w:rPr>
          <w:rFonts w:ascii="Arial" w:hAnsi="Arial" w:cs="Arial"/>
          <w:color w:val="333333"/>
          <w:sz w:val="20"/>
          <w:szCs w:val="20"/>
        </w:rPr>
      </w:pPr>
      <w:r w:rsidRPr="00B6673F">
        <w:rPr>
          <w:rFonts w:ascii="Arial" w:hAnsi="Arial" w:cs="Arial"/>
          <w:color w:val="333333"/>
          <w:sz w:val="20"/>
          <w:szCs w:val="20"/>
        </w:rPr>
        <w:t>Het inkomen van de aanvrager en eventuele partner is niet hoger dan 130% van de bijstandsnorm die geldt. Het gaat dan om het inkomen in de maand vóór de aanvraag.</w:t>
      </w:r>
    </w:p>
    <w:p w14:paraId="2FF39701" w14:textId="5B1E0F47" w:rsidR="00E273FC" w:rsidRPr="00B6673F" w:rsidRDefault="00E273FC" w:rsidP="00E273FC">
      <w:pPr>
        <w:pStyle w:val="Normaalweb"/>
        <w:shd w:val="clear" w:color="auto" w:fill="FFFFFF"/>
        <w:spacing w:before="240" w:beforeAutospacing="0" w:after="240" w:afterAutospacing="0"/>
        <w:rPr>
          <w:rFonts w:ascii="Arial" w:hAnsi="Arial" w:cs="Arial"/>
          <w:color w:val="333333"/>
          <w:sz w:val="20"/>
          <w:szCs w:val="20"/>
        </w:rPr>
      </w:pPr>
      <w:r w:rsidRPr="00B6673F">
        <w:rPr>
          <w:rFonts w:ascii="Arial" w:hAnsi="Arial" w:cs="Arial"/>
          <w:color w:val="333333"/>
          <w:sz w:val="20"/>
          <w:szCs w:val="20"/>
        </w:rPr>
        <w:t xml:space="preserve">In dit overzicht </w:t>
      </w:r>
      <w:r w:rsidR="004B0B57">
        <w:rPr>
          <w:rFonts w:ascii="Arial" w:hAnsi="Arial" w:cs="Arial"/>
          <w:color w:val="333333"/>
          <w:sz w:val="20"/>
          <w:szCs w:val="20"/>
        </w:rPr>
        <w:t>staan</w:t>
      </w:r>
      <w:r w:rsidRPr="00B6673F">
        <w:rPr>
          <w:rFonts w:ascii="Arial" w:hAnsi="Arial" w:cs="Arial"/>
          <w:color w:val="333333"/>
          <w:sz w:val="20"/>
          <w:szCs w:val="20"/>
        </w:rPr>
        <w:t xml:space="preserve"> de meest voorkomende inkomensgrenzen die gelden. Afhankelijk van </w:t>
      </w:r>
      <w:r w:rsidR="004B0B57">
        <w:rPr>
          <w:rFonts w:ascii="Arial" w:hAnsi="Arial" w:cs="Arial"/>
          <w:color w:val="333333"/>
          <w:sz w:val="20"/>
          <w:szCs w:val="20"/>
        </w:rPr>
        <w:t>de</w:t>
      </w:r>
      <w:r w:rsidRPr="00B6673F">
        <w:rPr>
          <w:rFonts w:ascii="Arial" w:hAnsi="Arial" w:cs="Arial"/>
          <w:color w:val="333333"/>
          <w:sz w:val="20"/>
          <w:szCs w:val="20"/>
        </w:rPr>
        <w:t xml:space="preserve"> woonsituatie kan dit hoger of lager uitvallen. De bedragen zijn zonder vakantietoeslag.</w:t>
      </w:r>
    </w:p>
    <w:tbl>
      <w:tblPr>
        <w:tblW w:w="9695" w:type="dxa"/>
        <w:tblBorders>
          <w:top w:val="single" w:sz="6" w:space="0" w:color="D7D7D7"/>
          <w:left w:val="single" w:sz="6" w:space="0" w:color="D7D7D7"/>
          <w:bottom w:val="single" w:sz="6" w:space="0" w:color="D7D7D7"/>
          <w:right w:val="single" w:sz="6" w:space="0" w:color="D7D7D7"/>
        </w:tblBorders>
        <w:shd w:val="clear" w:color="auto" w:fill="FFFFFF"/>
        <w:tblCellMar>
          <w:top w:w="15" w:type="dxa"/>
          <w:left w:w="15" w:type="dxa"/>
          <w:bottom w:w="15" w:type="dxa"/>
          <w:right w:w="15" w:type="dxa"/>
        </w:tblCellMar>
        <w:tblLook w:val="04A0" w:firstRow="1" w:lastRow="0" w:firstColumn="1" w:lastColumn="0" w:noHBand="0" w:noVBand="1"/>
      </w:tblPr>
      <w:tblGrid>
        <w:gridCol w:w="5006"/>
        <w:gridCol w:w="4689"/>
      </w:tblGrid>
      <w:tr w:rsidR="00E273FC" w:rsidRPr="00B6673F" w14:paraId="45330CC2" w14:textId="77777777" w:rsidTr="00E273FC">
        <w:trPr>
          <w:tblHeader/>
        </w:trPr>
        <w:tc>
          <w:tcPr>
            <w:tcW w:w="0" w:type="auto"/>
            <w:tcBorders>
              <w:top w:val="single" w:sz="6" w:space="0" w:color="476DB7"/>
              <w:left w:val="single" w:sz="6" w:space="0" w:color="476DB7"/>
              <w:bottom w:val="single" w:sz="6" w:space="0" w:color="476DB7"/>
              <w:right w:val="single" w:sz="6" w:space="0" w:color="476DB7"/>
            </w:tcBorders>
            <w:shd w:val="clear" w:color="auto" w:fill="476DB7"/>
            <w:tcMar>
              <w:top w:w="60" w:type="dxa"/>
              <w:left w:w="0" w:type="dxa"/>
              <w:bottom w:w="60" w:type="dxa"/>
              <w:right w:w="120" w:type="dxa"/>
            </w:tcMar>
            <w:hideMark/>
          </w:tcPr>
          <w:p w14:paraId="2EF4CAB8" w14:textId="77777777" w:rsidR="00E273FC" w:rsidRPr="00B6673F" w:rsidRDefault="00E273FC">
            <w:pPr>
              <w:spacing w:before="120" w:after="120"/>
              <w:ind w:left="240" w:right="240"/>
              <w:rPr>
                <w:rFonts w:cs="Arial"/>
                <w:color w:val="FFFFFF"/>
              </w:rPr>
            </w:pPr>
            <w:r w:rsidRPr="00B6673F">
              <w:rPr>
                <w:rFonts w:cs="Arial"/>
                <w:color w:val="FFFFFF"/>
              </w:rPr>
              <w:t> 21 jaar tot AOW-leeftijd</w:t>
            </w:r>
          </w:p>
        </w:tc>
        <w:tc>
          <w:tcPr>
            <w:tcW w:w="0" w:type="auto"/>
            <w:tcBorders>
              <w:top w:val="single" w:sz="6" w:space="0" w:color="476DB7"/>
              <w:left w:val="single" w:sz="6" w:space="0" w:color="476DB7"/>
              <w:bottom w:val="single" w:sz="6" w:space="0" w:color="476DB7"/>
              <w:right w:val="single" w:sz="6" w:space="0" w:color="476DB7"/>
            </w:tcBorders>
            <w:shd w:val="clear" w:color="auto" w:fill="476DB7"/>
            <w:tcMar>
              <w:top w:w="60" w:type="dxa"/>
              <w:left w:w="120" w:type="dxa"/>
              <w:bottom w:w="60" w:type="dxa"/>
              <w:right w:w="0" w:type="dxa"/>
            </w:tcMar>
            <w:hideMark/>
          </w:tcPr>
          <w:p w14:paraId="0011C805" w14:textId="77777777" w:rsidR="00E273FC" w:rsidRPr="00B6673F" w:rsidRDefault="00E273FC">
            <w:pPr>
              <w:spacing w:before="120" w:after="120"/>
              <w:ind w:left="240" w:right="240"/>
              <w:rPr>
                <w:rFonts w:cs="Arial"/>
                <w:color w:val="FFFFFF"/>
              </w:rPr>
            </w:pPr>
            <w:r w:rsidRPr="00B6673F">
              <w:rPr>
                <w:rFonts w:cs="Arial"/>
                <w:color w:val="FFFFFF"/>
              </w:rPr>
              <w:t>130% van bijstandsnorm</w:t>
            </w:r>
          </w:p>
        </w:tc>
      </w:tr>
      <w:tr w:rsidR="00E273FC" w:rsidRPr="00B6673F" w14:paraId="2286BD31" w14:textId="77777777" w:rsidTr="00E273FC">
        <w:tc>
          <w:tcPr>
            <w:tcW w:w="0" w:type="auto"/>
            <w:tcBorders>
              <w:top w:val="single" w:sz="6" w:space="0" w:color="476DB7"/>
              <w:left w:val="single" w:sz="6" w:space="0" w:color="476DB7"/>
              <w:bottom w:val="single" w:sz="6" w:space="0" w:color="476DB7"/>
              <w:right w:val="single" w:sz="6" w:space="0" w:color="476DB7"/>
            </w:tcBorders>
            <w:shd w:val="clear" w:color="auto" w:fill="FFFFFF"/>
            <w:tcMar>
              <w:top w:w="120" w:type="dxa"/>
              <w:left w:w="0" w:type="dxa"/>
              <w:bottom w:w="60" w:type="dxa"/>
              <w:right w:w="120" w:type="dxa"/>
            </w:tcMar>
            <w:vAlign w:val="bottom"/>
            <w:hideMark/>
          </w:tcPr>
          <w:p w14:paraId="527D3702" w14:textId="77777777" w:rsidR="00E273FC" w:rsidRPr="00B6673F" w:rsidRDefault="00E273FC">
            <w:pPr>
              <w:spacing w:before="120" w:after="120"/>
              <w:ind w:left="240" w:right="240"/>
              <w:rPr>
                <w:rFonts w:cs="Arial"/>
                <w:color w:val="333333"/>
              </w:rPr>
            </w:pPr>
            <w:r w:rsidRPr="00B6673F">
              <w:rPr>
                <w:rFonts w:cs="Arial"/>
                <w:color w:val="333333"/>
              </w:rPr>
              <w:t>Alleenstaand</w:t>
            </w:r>
          </w:p>
        </w:tc>
        <w:tc>
          <w:tcPr>
            <w:tcW w:w="0" w:type="auto"/>
            <w:tcBorders>
              <w:top w:val="single" w:sz="6" w:space="0" w:color="476DB7"/>
              <w:left w:val="single" w:sz="6" w:space="0" w:color="476DB7"/>
              <w:bottom w:val="single" w:sz="6" w:space="0" w:color="476DB7"/>
              <w:right w:val="single" w:sz="6" w:space="0" w:color="476DB7"/>
            </w:tcBorders>
            <w:shd w:val="clear" w:color="auto" w:fill="FFFFFF"/>
            <w:tcMar>
              <w:top w:w="60" w:type="dxa"/>
              <w:left w:w="120" w:type="dxa"/>
              <w:bottom w:w="120" w:type="dxa"/>
              <w:right w:w="0" w:type="dxa"/>
            </w:tcMar>
            <w:vAlign w:val="bottom"/>
            <w:hideMark/>
          </w:tcPr>
          <w:p w14:paraId="28B4289C" w14:textId="77777777" w:rsidR="00E273FC" w:rsidRPr="00B6673F" w:rsidRDefault="00E273FC">
            <w:pPr>
              <w:spacing w:before="120" w:after="120"/>
              <w:ind w:left="240" w:right="240"/>
              <w:rPr>
                <w:rFonts w:cs="Arial"/>
                <w:color w:val="333333"/>
              </w:rPr>
            </w:pPr>
            <w:r w:rsidRPr="00B6673F">
              <w:rPr>
                <w:rFonts w:cs="Arial"/>
                <w:color w:val="333333"/>
              </w:rPr>
              <w:t>€ 1.348,26</w:t>
            </w:r>
          </w:p>
        </w:tc>
      </w:tr>
      <w:tr w:rsidR="00E273FC" w:rsidRPr="00B6673F" w14:paraId="569421C3" w14:textId="77777777" w:rsidTr="00E273FC">
        <w:tc>
          <w:tcPr>
            <w:tcW w:w="0" w:type="auto"/>
            <w:tcBorders>
              <w:top w:val="single" w:sz="6" w:space="0" w:color="476DB7"/>
              <w:left w:val="single" w:sz="6" w:space="0" w:color="476DB7"/>
              <w:bottom w:val="single" w:sz="6" w:space="0" w:color="476DB7"/>
              <w:right w:val="single" w:sz="6" w:space="0" w:color="476DB7"/>
            </w:tcBorders>
            <w:shd w:val="clear" w:color="auto" w:fill="FFFFFF"/>
            <w:tcMar>
              <w:top w:w="120" w:type="dxa"/>
              <w:left w:w="0" w:type="dxa"/>
              <w:bottom w:w="60" w:type="dxa"/>
              <w:right w:w="120" w:type="dxa"/>
            </w:tcMar>
            <w:vAlign w:val="bottom"/>
            <w:hideMark/>
          </w:tcPr>
          <w:p w14:paraId="2614D672" w14:textId="77777777" w:rsidR="00E273FC" w:rsidRPr="00B6673F" w:rsidRDefault="00E273FC">
            <w:pPr>
              <w:spacing w:before="120" w:after="120"/>
              <w:ind w:left="240" w:right="240"/>
              <w:rPr>
                <w:rFonts w:cs="Arial"/>
                <w:color w:val="333333"/>
              </w:rPr>
            </w:pPr>
            <w:r w:rsidRPr="00B6673F">
              <w:rPr>
                <w:rFonts w:cs="Arial"/>
                <w:color w:val="333333"/>
              </w:rPr>
              <w:t>Alleenstaande ouder</w:t>
            </w:r>
          </w:p>
        </w:tc>
        <w:tc>
          <w:tcPr>
            <w:tcW w:w="0" w:type="auto"/>
            <w:tcBorders>
              <w:top w:val="single" w:sz="6" w:space="0" w:color="476DB7"/>
              <w:left w:val="single" w:sz="6" w:space="0" w:color="476DB7"/>
              <w:bottom w:val="single" w:sz="6" w:space="0" w:color="476DB7"/>
              <w:right w:val="single" w:sz="6" w:space="0" w:color="476DB7"/>
            </w:tcBorders>
            <w:shd w:val="clear" w:color="auto" w:fill="FFFFFF"/>
            <w:tcMar>
              <w:top w:w="60" w:type="dxa"/>
              <w:left w:w="120" w:type="dxa"/>
              <w:bottom w:w="120" w:type="dxa"/>
              <w:right w:w="0" w:type="dxa"/>
            </w:tcMar>
            <w:vAlign w:val="bottom"/>
            <w:hideMark/>
          </w:tcPr>
          <w:p w14:paraId="08739E7F" w14:textId="77777777" w:rsidR="00E273FC" w:rsidRPr="00B6673F" w:rsidRDefault="00E273FC">
            <w:pPr>
              <w:spacing w:before="120" w:after="120"/>
              <w:ind w:left="240" w:right="240"/>
              <w:rPr>
                <w:rFonts w:cs="Arial"/>
                <w:color w:val="333333"/>
              </w:rPr>
            </w:pPr>
            <w:r w:rsidRPr="00B6673F">
              <w:rPr>
                <w:rFonts w:cs="Arial"/>
                <w:color w:val="333333"/>
              </w:rPr>
              <w:t>€ 1.348,26</w:t>
            </w:r>
          </w:p>
        </w:tc>
      </w:tr>
      <w:tr w:rsidR="00E273FC" w:rsidRPr="00B6673F" w14:paraId="58542C12" w14:textId="77777777" w:rsidTr="00E273FC">
        <w:tc>
          <w:tcPr>
            <w:tcW w:w="0" w:type="auto"/>
            <w:tcBorders>
              <w:top w:val="single" w:sz="6" w:space="0" w:color="476DB7"/>
              <w:left w:val="single" w:sz="6" w:space="0" w:color="476DB7"/>
              <w:bottom w:val="single" w:sz="6" w:space="0" w:color="476DB7"/>
              <w:right w:val="single" w:sz="6" w:space="0" w:color="476DB7"/>
            </w:tcBorders>
            <w:shd w:val="clear" w:color="auto" w:fill="FFFFFF"/>
            <w:tcMar>
              <w:top w:w="120" w:type="dxa"/>
              <w:left w:w="0" w:type="dxa"/>
              <w:bottom w:w="60" w:type="dxa"/>
              <w:right w:w="120" w:type="dxa"/>
            </w:tcMar>
            <w:vAlign w:val="bottom"/>
            <w:hideMark/>
          </w:tcPr>
          <w:p w14:paraId="0BE01574" w14:textId="77777777" w:rsidR="00E273FC" w:rsidRPr="00B6673F" w:rsidRDefault="00E273FC">
            <w:pPr>
              <w:spacing w:before="120" w:after="120"/>
              <w:ind w:left="240" w:right="240"/>
              <w:rPr>
                <w:rFonts w:cs="Arial"/>
                <w:color w:val="333333"/>
              </w:rPr>
            </w:pPr>
            <w:r w:rsidRPr="00B6673F">
              <w:rPr>
                <w:rFonts w:cs="Arial"/>
                <w:color w:val="333333"/>
              </w:rPr>
              <w:t>Echtpaar of samenwonend</w:t>
            </w:r>
          </w:p>
        </w:tc>
        <w:tc>
          <w:tcPr>
            <w:tcW w:w="0" w:type="auto"/>
            <w:tcBorders>
              <w:top w:val="single" w:sz="6" w:space="0" w:color="476DB7"/>
              <w:left w:val="single" w:sz="6" w:space="0" w:color="476DB7"/>
              <w:bottom w:val="single" w:sz="6" w:space="0" w:color="476DB7"/>
              <w:right w:val="single" w:sz="6" w:space="0" w:color="476DB7"/>
            </w:tcBorders>
            <w:shd w:val="clear" w:color="auto" w:fill="FFFFFF"/>
            <w:tcMar>
              <w:top w:w="60" w:type="dxa"/>
              <w:left w:w="120" w:type="dxa"/>
              <w:bottom w:w="120" w:type="dxa"/>
              <w:right w:w="0" w:type="dxa"/>
            </w:tcMar>
            <w:vAlign w:val="bottom"/>
            <w:hideMark/>
          </w:tcPr>
          <w:p w14:paraId="2EA3ADED" w14:textId="77777777" w:rsidR="00E273FC" w:rsidRPr="00B6673F" w:rsidRDefault="00E273FC">
            <w:pPr>
              <w:spacing w:before="120" w:after="120"/>
              <w:ind w:left="240" w:right="240"/>
              <w:rPr>
                <w:rFonts w:cs="Arial"/>
                <w:color w:val="333333"/>
              </w:rPr>
            </w:pPr>
            <w:r w:rsidRPr="00B6673F">
              <w:rPr>
                <w:rFonts w:cs="Arial"/>
                <w:color w:val="333333"/>
              </w:rPr>
              <w:t>€ 1.926,08</w:t>
            </w:r>
          </w:p>
        </w:tc>
      </w:tr>
    </w:tbl>
    <w:p w14:paraId="302B999D" w14:textId="77777777" w:rsidR="00E273FC" w:rsidRPr="00B6673F" w:rsidRDefault="00E273FC" w:rsidP="00E273FC">
      <w:pPr>
        <w:rPr>
          <w:rFonts w:cs="Arial"/>
          <w:vanish/>
        </w:rPr>
      </w:pPr>
    </w:p>
    <w:tbl>
      <w:tblPr>
        <w:tblW w:w="9695" w:type="dxa"/>
        <w:tblBorders>
          <w:top w:val="single" w:sz="6" w:space="0" w:color="D7D7D7"/>
          <w:left w:val="single" w:sz="6" w:space="0" w:color="D7D7D7"/>
          <w:bottom w:val="single" w:sz="6" w:space="0" w:color="D7D7D7"/>
          <w:right w:val="single" w:sz="6" w:space="0" w:color="D7D7D7"/>
        </w:tblBorders>
        <w:shd w:val="clear" w:color="auto" w:fill="FFFFFF"/>
        <w:tblCellMar>
          <w:top w:w="15" w:type="dxa"/>
          <w:left w:w="15" w:type="dxa"/>
          <w:bottom w:w="15" w:type="dxa"/>
          <w:right w:w="15" w:type="dxa"/>
        </w:tblCellMar>
        <w:tblLook w:val="04A0" w:firstRow="1" w:lastRow="0" w:firstColumn="1" w:lastColumn="0" w:noHBand="0" w:noVBand="1"/>
      </w:tblPr>
      <w:tblGrid>
        <w:gridCol w:w="5006"/>
        <w:gridCol w:w="4689"/>
      </w:tblGrid>
      <w:tr w:rsidR="00E273FC" w:rsidRPr="00B6673F" w14:paraId="3415BC22" w14:textId="77777777" w:rsidTr="00E273FC">
        <w:trPr>
          <w:tblHeader/>
        </w:trPr>
        <w:tc>
          <w:tcPr>
            <w:tcW w:w="0" w:type="auto"/>
            <w:tcBorders>
              <w:top w:val="single" w:sz="6" w:space="0" w:color="476DB7"/>
              <w:left w:val="single" w:sz="6" w:space="0" w:color="476DB7"/>
              <w:bottom w:val="single" w:sz="6" w:space="0" w:color="476DB7"/>
              <w:right w:val="single" w:sz="6" w:space="0" w:color="476DB7"/>
            </w:tcBorders>
            <w:shd w:val="clear" w:color="auto" w:fill="476DB7"/>
            <w:tcMar>
              <w:top w:w="60" w:type="dxa"/>
              <w:left w:w="0" w:type="dxa"/>
              <w:bottom w:w="60" w:type="dxa"/>
              <w:right w:w="120" w:type="dxa"/>
            </w:tcMar>
            <w:hideMark/>
          </w:tcPr>
          <w:p w14:paraId="13B0E52B" w14:textId="77777777" w:rsidR="00E273FC" w:rsidRPr="00B6673F" w:rsidRDefault="00E273FC">
            <w:pPr>
              <w:spacing w:before="120" w:after="120"/>
              <w:ind w:left="240" w:right="240"/>
              <w:rPr>
                <w:rFonts w:cs="Arial"/>
                <w:color w:val="FFFFFF"/>
              </w:rPr>
            </w:pPr>
            <w:r w:rsidRPr="00B6673F">
              <w:rPr>
                <w:rFonts w:cs="Arial"/>
                <w:color w:val="FFFFFF"/>
              </w:rPr>
              <w:t>AOW-leeftijd of ouder</w:t>
            </w:r>
          </w:p>
        </w:tc>
        <w:tc>
          <w:tcPr>
            <w:tcW w:w="0" w:type="auto"/>
            <w:tcBorders>
              <w:top w:val="single" w:sz="6" w:space="0" w:color="476DB7"/>
              <w:left w:val="single" w:sz="6" w:space="0" w:color="476DB7"/>
              <w:bottom w:val="single" w:sz="6" w:space="0" w:color="476DB7"/>
              <w:right w:val="single" w:sz="6" w:space="0" w:color="476DB7"/>
            </w:tcBorders>
            <w:shd w:val="clear" w:color="auto" w:fill="476DB7"/>
            <w:tcMar>
              <w:top w:w="60" w:type="dxa"/>
              <w:left w:w="120" w:type="dxa"/>
              <w:bottom w:w="60" w:type="dxa"/>
              <w:right w:w="0" w:type="dxa"/>
            </w:tcMar>
            <w:hideMark/>
          </w:tcPr>
          <w:p w14:paraId="045460E4" w14:textId="77777777" w:rsidR="00E273FC" w:rsidRPr="00B6673F" w:rsidRDefault="00E273FC">
            <w:pPr>
              <w:spacing w:before="120" w:after="120"/>
              <w:ind w:left="240" w:right="240"/>
              <w:rPr>
                <w:rFonts w:cs="Arial"/>
                <w:color w:val="FFFFFF"/>
              </w:rPr>
            </w:pPr>
            <w:r w:rsidRPr="00B6673F">
              <w:rPr>
                <w:rFonts w:cs="Arial"/>
                <w:color w:val="FFFFFF"/>
              </w:rPr>
              <w:t>130% van bijstandsnorm</w:t>
            </w:r>
          </w:p>
        </w:tc>
      </w:tr>
      <w:tr w:rsidR="00E273FC" w:rsidRPr="00B6673F" w14:paraId="79EBCD3D" w14:textId="77777777" w:rsidTr="00E273FC">
        <w:tc>
          <w:tcPr>
            <w:tcW w:w="0" w:type="auto"/>
            <w:tcBorders>
              <w:top w:val="single" w:sz="6" w:space="0" w:color="476DB7"/>
              <w:left w:val="single" w:sz="6" w:space="0" w:color="476DB7"/>
              <w:bottom w:val="single" w:sz="6" w:space="0" w:color="476DB7"/>
              <w:right w:val="single" w:sz="6" w:space="0" w:color="476DB7"/>
            </w:tcBorders>
            <w:shd w:val="clear" w:color="auto" w:fill="FFFFFF"/>
            <w:tcMar>
              <w:top w:w="120" w:type="dxa"/>
              <w:left w:w="0" w:type="dxa"/>
              <w:bottom w:w="60" w:type="dxa"/>
              <w:right w:w="120" w:type="dxa"/>
            </w:tcMar>
            <w:vAlign w:val="bottom"/>
            <w:hideMark/>
          </w:tcPr>
          <w:p w14:paraId="40DF2BC2" w14:textId="77777777" w:rsidR="00E273FC" w:rsidRPr="00B6673F" w:rsidRDefault="00E273FC">
            <w:pPr>
              <w:spacing w:before="120" w:after="120"/>
              <w:ind w:left="240" w:right="240"/>
              <w:rPr>
                <w:rFonts w:cs="Arial"/>
                <w:color w:val="333333"/>
              </w:rPr>
            </w:pPr>
            <w:r w:rsidRPr="00B6673F">
              <w:rPr>
                <w:rFonts w:cs="Arial"/>
                <w:color w:val="333333"/>
              </w:rPr>
              <w:t>Alleenstaand</w:t>
            </w:r>
          </w:p>
        </w:tc>
        <w:tc>
          <w:tcPr>
            <w:tcW w:w="0" w:type="auto"/>
            <w:tcBorders>
              <w:top w:val="single" w:sz="6" w:space="0" w:color="476DB7"/>
              <w:left w:val="single" w:sz="6" w:space="0" w:color="476DB7"/>
              <w:bottom w:val="single" w:sz="6" w:space="0" w:color="476DB7"/>
              <w:right w:val="single" w:sz="6" w:space="0" w:color="476DB7"/>
            </w:tcBorders>
            <w:shd w:val="clear" w:color="auto" w:fill="FFFFFF"/>
            <w:tcMar>
              <w:top w:w="60" w:type="dxa"/>
              <w:left w:w="120" w:type="dxa"/>
              <w:bottom w:w="120" w:type="dxa"/>
              <w:right w:w="0" w:type="dxa"/>
            </w:tcMar>
            <w:vAlign w:val="bottom"/>
            <w:hideMark/>
          </w:tcPr>
          <w:p w14:paraId="4C9E8F49" w14:textId="77777777" w:rsidR="00E273FC" w:rsidRPr="00B6673F" w:rsidRDefault="00E273FC">
            <w:pPr>
              <w:spacing w:before="120" w:after="120"/>
              <w:ind w:left="240" w:right="240"/>
              <w:rPr>
                <w:rFonts w:cs="Arial"/>
                <w:color w:val="333333"/>
              </w:rPr>
            </w:pPr>
            <w:r w:rsidRPr="00B6673F">
              <w:rPr>
                <w:rFonts w:cs="Arial"/>
                <w:color w:val="333333"/>
              </w:rPr>
              <w:t>€ 1.498,13</w:t>
            </w:r>
          </w:p>
        </w:tc>
      </w:tr>
      <w:tr w:rsidR="00E273FC" w:rsidRPr="00B6673F" w14:paraId="01C3F921" w14:textId="77777777" w:rsidTr="00E273FC">
        <w:tc>
          <w:tcPr>
            <w:tcW w:w="0" w:type="auto"/>
            <w:tcBorders>
              <w:top w:val="single" w:sz="6" w:space="0" w:color="476DB7"/>
              <w:left w:val="single" w:sz="6" w:space="0" w:color="476DB7"/>
              <w:bottom w:val="single" w:sz="6" w:space="0" w:color="476DB7"/>
              <w:right w:val="single" w:sz="6" w:space="0" w:color="476DB7"/>
            </w:tcBorders>
            <w:shd w:val="clear" w:color="auto" w:fill="FFFFFF"/>
            <w:tcMar>
              <w:top w:w="120" w:type="dxa"/>
              <w:left w:w="0" w:type="dxa"/>
              <w:bottom w:w="60" w:type="dxa"/>
              <w:right w:w="120" w:type="dxa"/>
            </w:tcMar>
            <w:vAlign w:val="bottom"/>
            <w:hideMark/>
          </w:tcPr>
          <w:p w14:paraId="662DA8AD" w14:textId="77777777" w:rsidR="00E273FC" w:rsidRPr="00B6673F" w:rsidRDefault="00E273FC">
            <w:pPr>
              <w:spacing w:before="120" w:after="120"/>
              <w:ind w:left="240" w:right="240"/>
              <w:rPr>
                <w:rFonts w:cs="Arial"/>
                <w:color w:val="333333"/>
              </w:rPr>
            </w:pPr>
            <w:r w:rsidRPr="00B6673F">
              <w:rPr>
                <w:rFonts w:cs="Arial"/>
                <w:color w:val="333333"/>
              </w:rPr>
              <w:t>Alleenstaande ouder</w:t>
            </w:r>
          </w:p>
        </w:tc>
        <w:tc>
          <w:tcPr>
            <w:tcW w:w="0" w:type="auto"/>
            <w:tcBorders>
              <w:top w:val="single" w:sz="6" w:space="0" w:color="476DB7"/>
              <w:left w:val="single" w:sz="6" w:space="0" w:color="476DB7"/>
              <w:bottom w:val="single" w:sz="6" w:space="0" w:color="476DB7"/>
              <w:right w:val="single" w:sz="6" w:space="0" w:color="476DB7"/>
            </w:tcBorders>
            <w:shd w:val="clear" w:color="auto" w:fill="FFFFFF"/>
            <w:tcMar>
              <w:top w:w="60" w:type="dxa"/>
              <w:left w:w="120" w:type="dxa"/>
              <w:bottom w:w="120" w:type="dxa"/>
              <w:right w:w="0" w:type="dxa"/>
            </w:tcMar>
            <w:vAlign w:val="bottom"/>
            <w:hideMark/>
          </w:tcPr>
          <w:p w14:paraId="00ACD715" w14:textId="77777777" w:rsidR="00E273FC" w:rsidRPr="00B6673F" w:rsidRDefault="00E273FC">
            <w:pPr>
              <w:spacing w:before="120" w:after="120"/>
              <w:ind w:left="240" w:right="240"/>
              <w:rPr>
                <w:rFonts w:cs="Arial"/>
                <w:color w:val="333333"/>
              </w:rPr>
            </w:pPr>
            <w:r w:rsidRPr="00B6673F">
              <w:rPr>
                <w:rFonts w:cs="Arial"/>
                <w:color w:val="333333"/>
              </w:rPr>
              <w:t>€ 1.498,13</w:t>
            </w:r>
          </w:p>
        </w:tc>
      </w:tr>
      <w:tr w:rsidR="00E273FC" w:rsidRPr="00B6673F" w14:paraId="4AA93AE5" w14:textId="77777777" w:rsidTr="00E273FC">
        <w:tc>
          <w:tcPr>
            <w:tcW w:w="0" w:type="auto"/>
            <w:tcBorders>
              <w:top w:val="single" w:sz="6" w:space="0" w:color="476DB7"/>
              <w:left w:val="single" w:sz="6" w:space="0" w:color="476DB7"/>
              <w:bottom w:val="single" w:sz="6" w:space="0" w:color="476DB7"/>
              <w:right w:val="single" w:sz="6" w:space="0" w:color="476DB7"/>
            </w:tcBorders>
            <w:shd w:val="clear" w:color="auto" w:fill="FFFFFF"/>
            <w:tcMar>
              <w:top w:w="120" w:type="dxa"/>
              <w:left w:w="0" w:type="dxa"/>
              <w:bottom w:w="60" w:type="dxa"/>
              <w:right w:w="120" w:type="dxa"/>
            </w:tcMar>
            <w:vAlign w:val="bottom"/>
            <w:hideMark/>
          </w:tcPr>
          <w:p w14:paraId="563918D1" w14:textId="77777777" w:rsidR="00E273FC" w:rsidRPr="00B6673F" w:rsidRDefault="00E273FC">
            <w:pPr>
              <w:spacing w:before="120" w:after="120"/>
              <w:ind w:left="240" w:right="240"/>
              <w:rPr>
                <w:rFonts w:cs="Arial"/>
                <w:color w:val="333333"/>
              </w:rPr>
            </w:pPr>
            <w:r w:rsidRPr="00B6673F">
              <w:rPr>
                <w:rFonts w:cs="Arial"/>
                <w:color w:val="333333"/>
              </w:rPr>
              <w:t>Echtpaar of samenwonend</w:t>
            </w:r>
          </w:p>
        </w:tc>
        <w:tc>
          <w:tcPr>
            <w:tcW w:w="0" w:type="auto"/>
            <w:tcBorders>
              <w:top w:val="single" w:sz="6" w:space="0" w:color="476DB7"/>
              <w:left w:val="single" w:sz="6" w:space="0" w:color="476DB7"/>
              <w:bottom w:val="single" w:sz="6" w:space="0" w:color="476DB7"/>
              <w:right w:val="single" w:sz="6" w:space="0" w:color="476DB7"/>
            </w:tcBorders>
            <w:shd w:val="clear" w:color="auto" w:fill="FFFFFF"/>
            <w:tcMar>
              <w:top w:w="60" w:type="dxa"/>
              <w:left w:w="120" w:type="dxa"/>
              <w:bottom w:w="120" w:type="dxa"/>
              <w:right w:w="0" w:type="dxa"/>
            </w:tcMar>
            <w:vAlign w:val="bottom"/>
            <w:hideMark/>
          </w:tcPr>
          <w:p w14:paraId="6779E73F" w14:textId="77777777" w:rsidR="00E273FC" w:rsidRPr="00B6673F" w:rsidRDefault="00E273FC">
            <w:pPr>
              <w:spacing w:before="120" w:after="120"/>
              <w:ind w:left="240" w:right="240"/>
              <w:rPr>
                <w:rFonts w:cs="Arial"/>
                <w:color w:val="333333"/>
              </w:rPr>
            </w:pPr>
            <w:r w:rsidRPr="00B6673F">
              <w:rPr>
                <w:rFonts w:cs="Arial"/>
                <w:color w:val="333333"/>
              </w:rPr>
              <w:t>€ 2.028,54</w:t>
            </w:r>
          </w:p>
        </w:tc>
      </w:tr>
    </w:tbl>
    <w:p w14:paraId="59454951" w14:textId="55539932" w:rsidR="00E273FC" w:rsidRPr="00B6673F" w:rsidRDefault="00E273FC" w:rsidP="00E273FC">
      <w:pPr>
        <w:pStyle w:val="Normaalweb"/>
        <w:shd w:val="clear" w:color="auto" w:fill="FFFFFF"/>
        <w:spacing w:before="240" w:beforeAutospacing="0" w:after="240" w:afterAutospacing="0"/>
        <w:rPr>
          <w:rFonts w:ascii="Arial" w:hAnsi="Arial" w:cs="Arial"/>
          <w:color w:val="333333"/>
          <w:sz w:val="20"/>
          <w:szCs w:val="20"/>
        </w:rPr>
      </w:pPr>
    </w:p>
    <w:p w14:paraId="521A985E" w14:textId="77777777" w:rsidR="00E273FC" w:rsidRPr="00B6673F" w:rsidRDefault="00E273FC" w:rsidP="00E273FC">
      <w:pPr>
        <w:pStyle w:val="Kop3"/>
        <w:shd w:val="clear" w:color="auto" w:fill="FFFFFF"/>
        <w:spacing w:before="300" w:after="180"/>
        <w:rPr>
          <w:rFonts w:cs="Arial"/>
          <w:color w:val="476DB7"/>
        </w:rPr>
      </w:pPr>
      <w:r w:rsidRPr="00B6673F">
        <w:rPr>
          <w:rFonts w:cs="Arial"/>
          <w:color w:val="476DB7"/>
        </w:rPr>
        <w:t>Geen recht als...</w:t>
      </w:r>
    </w:p>
    <w:p w14:paraId="61543639" w14:textId="6AB9CD88" w:rsidR="00E273FC" w:rsidRPr="00B6673F" w:rsidRDefault="00E273FC" w:rsidP="00E273FC">
      <w:pPr>
        <w:pStyle w:val="Normaalweb"/>
        <w:shd w:val="clear" w:color="auto" w:fill="FFFFFF"/>
        <w:spacing w:before="240" w:beforeAutospacing="0" w:after="240" w:afterAutospacing="0"/>
        <w:rPr>
          <w:rFonts w:ascii="Arial" w:hAnsi="Arial" w:cs="Arial"/>
          <w:color w:val="333333"/>
          <w:sz w:val="20"/>
          <w:szCs w:val="20"/>
        </w:rPr>
      </w:pPr>
      <w:r w:rsidRPr="00B6673F">
        <w:rPr>
          <w:rFonts w:ascii="Arial" w:hAnsi="Arial" w:cs="Arial"/>
          <w:color w:val="333333"/>
          <w:sz w:val="20"/>
          <w:szCs w:val="20"/>
        </w:rPr>
        <w:t>Er is geen recht op de energietoeslag als iemand:</w:t>
      </w:r>
    </w:p>
    <w:p w14:paraId="76B10E02" w14:textId="531E5725" w:rsidR="00E273FC" w:rsidRPr="00B6673F" w:rsidRDefault="00E273FC" w:rsidP="00E273FC">
      <w:pPr>
        <w:numPr>
          <w:ilvl w:val="0"/>
          <w:numId w:val="23"/>
        </w:numPr>
        <w:shd w:val="clear" w:color="auto" w:fill="FFFFFF"/>
        <w:adjustRightInd/>
        <w:spacing w:before="100" w:beforeAutospacing="1" w:after="60" w:line="384" w:lineRule="atLeast"/>
        <w:rPr>
          <w:rFonts w:cs="Arial"/>
          <w:color w:val="333333"/>
        </w:rPr>
      </w:pPr>
      <w:r w:rsidRPr="00B6673F">
        <w:rPr>
          <w:rFonts w:cs="Arial"/>
          <w:color w:val="333333"/>
        </w:rPr>
        <w:lastRenderedPageBreak/>
        <w:t>jonger dan 21 jaar is en bij ouder(s) woont</w:t>
      </w:r>
    </w:p>
    <w:p w14:paraId="017352C0" w14:textId="3DBC01B6" w:rsidR="00E273FC" w:rsidRPr="00B6673F" w:rsidRDefault="00E273FC" w:rsidP="00E273FC">
      <w:pPr>
        <w:numPr>
          <w:ilvl w:val="0"/>
          <w:numId w:val="23"/>
        </w:numPr>
        <w:shd w:val="clear" w:color="auto" w:fill="FFFFFF"/>
        <w:adjustRightInd/>
        <w:spacing w:before="100" w:beforeAutospacing="1" w:after="60" w:line="384" w:lineRule="atLeast"/>
        <w:rPr>
          <w:rFonts w:cs="Arial"/>
          <w:color w:val="333333"/>
        </w:rPr>
      </w:pPr>
      <w:r w:rsidRPr="00B6673F">
        <w:rPr>
          <w:rFonts w:cs="Arial"/>
          <w:color w:val="333333"/>
        </w:rPr>
        <w:t>student is en bij ouder(s) woont</w:t>
      </w:r>
    </w:p>
    <w:p w14:paraId="403A3224" w14:textId="61E1FF82" w:rsidR="00E273FC" w:rsidRPr="00B6673F" w:rsidRDefault="00E273FC" w:rsidP="00E273FC">
      <w:pPr>
        <w:numPr>
          <w:ilvl w:val="0"/>
          <w:numId w:val="23"/>
        </w:numPr>
        <w:shd w:val="clear" w:color="auto" w:fill="FFFFFF"/>
        <w:adjustRightInd/>
        <w:spacing w:before="100" w:beforeAutospacing="1" w:after="60" w:line="384" w:lineRule="atLeast"/>
        <w:rPr>
          <w:rFonts w:cs="Arial"/>
          <w:color w:val="333333"/>
        </w:rPr>
      </w:pPr>
      <w:r w:rsidRPr="00B6673F">
        <w:rPr>
          <w:rFonts w:cs="Arial"/>
          <w:color w:val="333333"/>
        </w:rPr>
        <w:t>in een inrichting woont</w:t>
      </w:r>
      <w:r w:rsidR="00317A68">
        <w:rPr>
          <w:rFonts w:cs="Arial"/>
          <w:color w:val="333333"/>
        </w:rPr>
        <w:t xml:space="preserve"> (de inrichting betaalt de energiekosten)</w:t>
      </w:r>
    </w:p>
    <w:p w14:paraId="13A2773C" w14:textId="2B6F486E" w:rsidR="00E273FC" w:rsidRPr="00B6673F" w:rsidRDefault="00E273FC" w:rsidP="00E273FC">
      <w:pPr>
        <w:numPr>
          <w:ilvl w:val="0"/>
          <w:numId w:val="23"/>
        </w:numPr>
        <w:shd w:val="clear" w:color="auto" w:fill="FFFFFF"/>
        <w:adjustRightInd/>
        <w:spacing w:before="100" w:beforeAutospacing="1" w:after="60" w:line="384" w:lineRule="atLeast"/>
        <w:rPr>
          <w:rFonts w:cs="Arial"/>
          <w:color w:val="333333"/>
        </w:rPr>
      </w:pPr>
      <w:r w:rsidRPr="00B6673F">
        <w:rPr>
          <w:rFonts w:cs="Arial"/>
          <w:color w:val="333333"/>
        </w:rPr>
        <w:t>de energietoeslag als zelfstandige aanvraagt voor uw gestegen bedrijfslasten</w:t>
      </w:r>
    </w:p>
    <w:p w14:paraId="32FAA912" w14:textId="34A880D4" w:rsidR="003A2B81" w:rsidRDefault="003A2B81" w:rsidP="003A2B81">
      <w:pPr>
        <w:pStyle w:val="Kop2"/>
        <w:rPr>
          <w:rFonts w:cs="Arial"/>
          <w:sz w:val="20"/>
        </w:rPr>
      </w:pPr>
      <w:r>
        <w:rPr>
          <w:rFonts w:cs="Arial"/>
          <w:sz w:val="20"/>
        </w:rPr>
        <w:t>Automatische betaling energietoeslag</w:t>
      </w:r>
    </w:p>
    <w:p w14:paraId="3F631783" w14:textId="3A3BE355" w:rsidR="003A2B81" w:rsidRPr="003A2B81" w:rsidRDefault="003A2B81" w:rsidP="003A2B81">
      <w:r>
        <w:t xml:space="preserve">In de bovenstaande tabel </w:t>
      </w:r>
      <w:r w:rsidR="00390CDE">
        <w:t xml:space="preserve">staan </w:t>
      </w:r>
      <w:r>
        <w:t xml:space="preserve">de groepen inwoners die automatisch de energietoeslag krijgen. </w:t>
      </w:r>
      <w:r>
        <w:rPr>
          <w:rFonts w:cs="Arial"/>
          <w:color w:val="000000"/>
        </w:rPr>
        <w:t xml:space="preserve">Voorwaarde hierbij is </w:t>
      </w:r>
      <w:r w:rsidR="00390CDE">
        <w:rPr>
          <w:rFonts w:cs="Arial"/>
          <w:color w:val="000000"/>
        </w:rPr>
        <w:t xml:space="preserve">de gemeente de actuele bankrekeningnummers van deze groep inwoners heeft. </w:t>
      </w:r>
      <w:r>
        <w:rPr>
          <w:rFonts w:cs="Arial"/>
          <w:color w:val="000000"/>
        </w:rPr>
        <w:t xml:space="preserve"> Als dit </w:t>
      </w:r>
      <w:r w:rsidR="00390CDE">
        <w:rPr>
          <w:rFonts w:cs="Arial"/>
          <w:color w:val="000000"/>
        </w:rPr>
        <w:t xml:space="preserve">bekend </w:t>
      </w:r>
      <w:r>
        <w:rPr>
          <w:rFonts w:cs="Arial"/>
          <w:color w:val="000000"/>
        </w:rPr>
        <w:t>is, wordt uiterlijk 15 april 2022 de energietoeslag vanzelf betaald en krijgt men hier een brief over.</w:t>
      </w:r>
      <w:r w:rsidR="0063228A">
        <w:rPr>
          <w:rFonts w:cs="Arial"/>
          <w:color w:val="000000"/>
        </w:rPr>
        <w:t xml:space="preserve"> Ruim 4500 inwoners krijgen de energietoeslag vanzelf.</w:t>
      </w:r>
    </w:p>
    <w:p w14:paraId="673A793A" w14:textId="7BF2F700" w:rsidR="00B6673F" w:rsidRPr="00B6673F" w:rsidRDefault="00B6673F" w:rsidP="00B6673F">
      <w:pPr>
        <w:pStyle w:val="Kop2"/>
        <w:rPr>
          <w:rFonts w:cs="Arial"/>
          <w:sz w:val="20"/>
        </w:rPr>
      </w:pPr>
      <w:r w:rsidRPr="00B6673F">
        <w:rPr>
          <w:rFonts w:cs="Arial"/>
          <w:sz w:val="20"/>
        </w:rPr>
        <w:t>Aanvraag energietoeslag</w:t>
      </w:r>
    </w:p>
    <w:p w14:paraId="28802518" w14:textId="7DA0A548" w:rsidR="00E2405B" w:rsidRDefault="00B6673F" w:rsidP="00E2405B">
      <w:pPr>
        <w:rPr>
          <w:rFonts w:cs="Arial"/>
        </w:rPr>
      </w:pPr>
      <w:r w:rsidRPr="00B6673F">
        <w:rPr>
          <w:rFonts w:cs="Arial"/>
        </w:rPr>
        <w:t xml:space="preserve">Vanaf 15 april 2022 kunnen inwoners de energietoeslag aanvragen. Dan is de automatische betaling van de energietoeslag al gedaan. </w:t>
      </w:r>
      <w:r w:rsidR="006A11F7">
        <w:rPr>
          <w:rFonts w:cs="Arial"/>
        </w:rPr>
        <w:t>De energietoeslag kan tot 1 oktober 2022 worden aangevraagd.</w:t>
      </w:r>
    </w:p>
    <w:p w14:paraId="16F1A39C" w14:textId="45E46782" w:rsidR="00390CDE" w:rsidRDefault="00390CDE" w:rsidP="00E2405B">
      <w:pPr>
        <w:rPr>
          <w:rFonts w:cs="Arial"/>
        </w:rPr>
      </w:pPr>
      <w:r>
        <w:rPr>
          <w:rFonts w:cs="Arial"/>
        </w:rPr>
        <w:t xml:space="preserve">Dit kan digitaal aangevraagd worden via </w:t>
      </w:r>
      <w:hyperlink r:id="rId5" w:history="1">
        <w:r w:rsidRPr="00390F7A">
          <w:rPr>
            <w:rStyle w:val="Hyperlink"/>
            <w:rFonts w:cs="Arial"/>
          </w:rPr>
          <w:t>www.zwolle.nl/energietoeslag</w:t>
        </w:r>
      </w:hyperlink>
      <w:r>
        <w:rPr>
          <w:rFonts w:cs="Arial"/>
        </w:rPr>
        <w:t xml:space="preserve">. Hiervoor heeft de inwoner zijn </w:t>
      </w:r>
      <w:proofErr w:type="spellStart"/>
      <w:r>
        <w:rPr>
          <w:rFonts w:cs="Arial"/>
        </w:rPr>
        <w:t>DigiD</w:t>
      </w:r>
      <w:proofErr w:type="spellEnd"/>
      <w:r>
        <w:rPr>
          <w:rFonts w:cs="Arial"/>
        </w:rPr>
        <w:t xml:space="preserve"> nodig.</w:t>
      </w:r>
      <w:r w:rsidR="009C7F12">
        <w:rPr>
          <w:rFonts w:cs="Arial"/>
        </w:rPr>
        <w:t xml:space="preserve"> </w:t>
      </w:r>
    </w:p>
    <w:p w14:paraId="6663C349" w14:textId="582B744E" w:rsidR="009C7F12" w:rsidRDefault="009C7F12" w:rsidP="00E2405B">
      <w:pPr>
        <w:rPr>
          <w:rFonts w:cs="Arial"/>
        </w:rPr>
      </w:pPr>
      <w:r>
        <w:rPr>
          <w:rFonts w:cs="Arial"/>
        </w:rPr>
        <w:t>Lukt het niet om de aanvraag digitaal te doen? Dan kan worden gebeld met 14 038. Samen wordt dan gekeken hoe de aanvraag kan worden geregeld.</w:t>
      </w:r>
    </w:p>
    <w:p w14:paraId="66777F81" w14:textId="116364F6" w:rsidR="00E2405B" w:rsidRDefault="00E2405B" w:rsidP="00E2405B">
      <w:pPr>
        <w:rPr>
          <w:rFonts w:cs="Arial"/>
        </w:rPr>
      </w:pPr>
    </w:p>
    <w:p w14:paraId="2D24F6D4" w14:textId="5D3299BC" w:rsidR="00E2405B" w:rsidRDefault="00E2405B" w:rsidP="00E2405B">
      <w:pPr>
        <w:rPr>
          <w:rFonts w:cs="Arial"/>
        </w:rPr>
      </w:pPr>
      <w:r>
        <w:rPr>
          <w:rFonts w:cs="Arial"/>
          <w:b/>
          <w:bCs/>
        </w:rPr>
        <w:t>Bijzondere bijstand voor energiekosten</w:t>
      </w:r>
    </w:p>
    <w:p w14:paraId="39E3A215" w14:textId="161587DD" w:rsidR="00E40B2F" w:rsidRPr="00E2405B" w:rsidRDefault="00E2405B" w:rsidP="00E40B2F">
      <w:pPr>
        <w:rPr>
          <w:rFonts w:cs="Arial"/>
        </w:rPr>
      </w:pPr>
      <w:r>
        <w:rPr>
          <w:rFonts w:cs="Arial"/>
        </w:rPr>
        <w:t>In een aantal situaties kan er reden zijn om als gemeente Zwolle bijzondere bijstand te verlenen voor extra energiekosten. Hieronder worden deze situaties beschreven. In alle situaties zal er bij een aanvraag bijzondere bijstand voor extra energiekosten rekening worden gehouden met het recht op de energietoeslag van € 800.</w:t>
      </w:r>
      <w:r w:rsidR="00E40B2F">
        <w:rPr>
          <w:rFonts w:cs="Arial"/>
        </w:rPr>
        <w:t xml:space="preserve"> </w:t>
      </w:r>
      <w:r>
        <w:rPr>
          <w:rFonts w:cs="Arial"/>
        </w:rPr>
        <w:t xml:space="preserve"> </w:t>
      </w:r>
      <w:r w:rsidR="00E40B2F">
        <w:rPr>
          <w:rFonts w:cs="Arial"/>
        </w:rPr>
        <w:t>Ook wordt b</w:t>
      </w:r>
      <w:r w:rsidR="00E40B2F" w:rsidRPr="00E2405B">
        <w:rPr>
          <w:rFonts w:cs="Arial"/>
        </w:rPr>
        <w:t xml:space="preserve">ij de vaststelling van het recht op en de hoogte van de bijstand </w:t>
      </w:r>
      <w:r w:rsidR="00E40B2F">
        <w:rPr>
          <w:rFonts w:cs="Arial"/>
        </w:rPr>
        <w:t xml:space="preserve">gekeken wat men zelf kan betalen </w:t>
      </w:r>
      <w:r w:rsidR="00E40B2F" w:rsidRPr="00E2405B">
        <w:rPr>
          <w:rFonts w:cs="Arial"/>
        </w:rPr>
        <w:t>op grond van het inkomen en vermogen.</w:t>
      </w:r>
    </w:p>
    <w:p w14:paraId="79409B5C" w14:textId="6CCDE082" w:rsidR="00E2405B" w:rsidRPr="00E2405B" w:rsidRDefault="00E2405B" w:rsidP="00E2405B">
      <w:pPr>
        <w:rPr>
          <w:rFonts w:cs="Arial"/>
        </w:rPr>
      </w:pPr>
    </w:p>
    <w:p w14:paraId="2AEBA612" w14:textId="2D4EC254" w:rsidR="00E2405B" w:rsidRDefault="00E2405B" w:rsidP="00E2405B">
      <w:pPr>
        <w:rPr>
          <w:rFonts w:cs="Arial"/>
        </w:rPr>
      </w:pPr>
    </w:p>
    <w:p w14:paraId="08743C3A" w14:textId="77777777" w:rsidR="00E2405B" w:rsidRPr="00E40B2F" w:rsidRDefault="00E2405B" w:rsidP="00E2405B">
      <w:pPr>
        <w:pStyle w:val="Lijstalinea"/>
        <w:numPr>
          <w:ilvl w:val="0"/>
          <w:numId w:val="24"/>
        </w:numPr>
        <w:rPr>
          <w:rFonts w:cs="Arial"/>
          <w:b/>
          <w:bCs/>
        </w:rPr>
      </w:pPr>
      <w:r w:rsidRPr="00E40B2F">
        <w:rPr>
          <w:rFonts w:cs="Arial"/>
          <w:b/>
          <w:bCs/>
        </w:rPr>
        <w:t>Bijzondere bijstand extra energiekosten i.v.m. medische redenen</w:t>
      </w:r>
    </w:p>
    <w:p w14:paraId="6E372BF9" w14:textId="351BD01E" w:rsidR="00E2405B" w:rsidRPr="00E2405B" w:rsidRDefault="00E2405B" w:rsidP="00E2405B">
      <w:pPr>
        <w:ind w:left="708"/>
        <w:rPr>
          <w:rFonts w:cs="Arial"/>
        </w:rPr>
      </w:pPr>
      <w:r w:rsidRPr="00E2405B">
        <w:rPr>
          <w:rFonts w:cs="Arial"/>
        </w:rPr>
        <w:t xml:space="preserve">Er kan een medische noodzaak zijn waardoor iemand hogere energiekosten heeft dan </w:t>
      </w:r>
      <w:r>
        <w:rPr>
          <w:rFonts w:cs="Arial"/>
        </w:rPr>
        <w:t>normaal</w:t>
      </w:r>
      <w:r w:rsidRPr="00E2405B">
        <w:rPr>
          <w:rFonts w:cs="Arial"/>
        </w:rPr>
        <w:t xml:space="preserve"> gebruikelijk is. Er kan dan voor de extra kosten bijzondere bijstand aangevraagd worden.</w:t>
      </w:r>
    </w:p>
    <w:p w14:paraId="559EE46B" w14:textId="634FF989" w:rsidR="00E2405B" w:rsidRPr="00E2405B" w:rsidRDefault="00E2405B" w:rsidP="00E2405B">
      <w:pPr>
        <w:ind w:left="708"/>
        <w:rPr>
          <w:rFonts w:cs="Arial"/>
        </w:rPr>
      </w:pPr>
      <w:r w:rsidRPr="00E2405B">
        <w:rPr>
          <w:rFonts w:cs="Arial"/>
        </w:rPr>
        <w:t xml:space="preserve">De medische noodzaak kan worden aangetoond door middel van een verklaring van een arts/specialist, het CIZ of </w:t>
      </w:r>
      <w:r>
        <w:rPr>
          <w:rFonts w:cs="Arial"/>
        </w:rPr>
        <w:t xml:space="preserve">de gemeente Zwolle kan hiervoor </w:t>
      </w:r>
      <w:r w:rsidRPr="00E2405B">
        <w:rPr>
          <w:rFonts w:cs="Arial"/>
        </w:rPr>
        <w:t xml:space="preserve">een </w:t>
      </w:r>
      <w:r>
        <w:rPr>
          <w:rFonts w:cs="Arial"/>
        </w:rPr>
        <w:t>medisch advies aanvragen</w:t>
      </w:r>
      <w:r w:rsidRPr="00E2405B">
        <w:rPr>
          <w:rFonts w:cs="Arial"/>
        </w:rPr>
        <w:t xml:space="preserve">. </w:t>
      </w:r>
    </w:p>
    <w:p w14:paraId="4BADCB8A" w14:textId="14BBB6FD" w:rsidR="00E2405B" w:rsidRPr="00E2405B" w:rsidRDefault="00E2405B" w:rsidP="00E2405B">
      <w:pPr>
        <w:ind w:left="708"/>
        <w:rPr>
          <w:rFonts w:cs="Arial"/>
        </w:rPr>
      </w:pPr>
      <w:r w:rsidRPr="00E2405B">
        <w:rPr>
          <w:rFonts w:cs="Arial"/>
        </w:rPr>
        <w:t xml:space="preserve">Uit het inkomen op bijstandsniveau moeten de </w:t>
      </w:r>
      <w:r>
        <w:rPr>
          <w:rFonts w:cs="Arial"/>
        </w:rPr>
        <w:t xml:space="preserve">normale </w:t>
      </w:r>
      <w:r w:rsidRPr="00E2405B">
        <w:rPr>
          <w:rFonts w:cs="Arial"/>
        </w:rPr>
        <w:t xml:space="preserve"> energiekosten betaald worden. Alleen voor de extra kosten kan bijzondere bijstand verleend worden. De extra kosten worden bepaald door de werkelijke energiekosten af te zetten tegen het gemiddeld verbruik. </w:t>
      </w:r>
      <w:r>
        <w:rPr>
          <w:rFonts w:cs="Arial"/>
        </w:rPr>
        <w:t xml:space="preserve">Hierbij wordt uitgegaan van de kosten die het NIBUD hanteer voor </w:t>
      </w:r>
      <w:r w:rsidRPr="00E2405B">
        <w:rPr>
          <w:rFonts w:cs="Arial"/>
        </w:rPr>
        <w:t>het gemiddeld verbruik per woningtype en grootte van het huishouden. De gemiddelde energiekosten</w:t>
      </w:r>
      <w:r w:rsidR="00E40B2F">
        <w:rPr>
          <w:rFonts w:cs="Arial"/>
        </w:rPr>
        <w:t xml:space="preserve"> </w:t>
      </w:r>
      <w:r w:rsidRPr="00E2405B">
        <w:rPr>
          <w:rFonts w:cs="Arial"/>
        </w:rPr>
        <w:t>kunnen worden bepaald aan de hand van de jaarafrekening.</w:t>
      </w:r>
    </w:p>
    <w:p w14:paraId="656651D6" w14:textId="77777777" w:rsidR="00E2405B" w:rsidRPr="00E2405B" w:rsidRDefault="00E2405B" w:rsidP="00E2405B">
      <w:pPr>
        <w:rPr>
          <w:rFonts w:cs="Arial"/>
        </w:rPr>
      </w:pPr>
    </w:p>
    <w:p w14:paraId="215E5D61" w14:textId="77777777" w:rsidR="00E2405B" w:rsidRPr="00E40B2F" w:rsidRDefault="00E2405B" w:rsidP="00E40B2F">
      <w:pPr>
        <w:pStyle w:val="Lijstalinea"/>
        <w:numPr>
          <w:ilvl w:val="0"/>
          <w:numId w:val="24"/>
        </w:numPr>
        <w:rPr>
          <w:rFonts w:cs="Arial"/>
          <w:b/>
          <w:bCs/>
        </w:rPr>
      </w:pPr>
      <w:r w:rsidRPr="00E40B2F">
        <w:rPr>
          <w:rFonts w:cs="Arial"/>
          <w:b/>
          <w:bCs/>
        </w:rPr>
        <w:t>Bijzondere bijstand jaarrekening en stijging energiekosten</w:t>
      </w:r>
    </w:p>
    <w:p w14:paraId="3C311586" w14:textId="77777777" w:rsidR="00E2405B" w:rsidRPr="00E2405B" w:rsidRDefault="00E2405B" w:rsidP="00E40B2F">
      <w:pPr>
        <w:ind w:left="708"/>
        <w:rPr>
          <w:rFonts w:cs="Arial"/>
        </w:rPr>
      </w:pPr>
      <w:r w:rsidRPr="00E2405B">
        <w:rPr>
          <w:rFonts w:cs="Arial"/>
        </w:rPr>
        <w:t>Door de stijging van de energieprijzen kan er in sommige situaties aanleiding zijn om bijzondere bijstand te verlenen. Dit is met name het geval wanneer de jaarrekening is beïnvloed door buitengewone hoge stijging van energiekosten.</w:t>
      </w:r>
    </w:p>
    <w:p w14:paraId="421393DD" w14:textId="33069354" w:rsidR="00E2405B" w:rsidRPr="00E2405B" w:rsidRDefault="00E40B2F" w:rsidP="00E40B2F">
      <w:pPr>
        <w:ind w:left="708"/>
        <w:rPr>
          <w:rFonts w:cs="Arial"/>
        </w:rPr>
      </w:pPr>
      <w:r>
        <w:rPr>
          <w:rFonts w:cs="Arial"/>
        </w:rPr>
        <w:t>Het</w:t>
      </w:r>
      <w:r w:rsidR="00E2405B" w:rsidRPr="00E2405B">
        <w:rPr>
          <w:rFonts w:cs="Arial"/>
        </w:rPr>
        <w:t xml:space="preserve"> NIBUD geeft richtlijnen voor energieverbruik. Er wordt per type woning en de grootte van het huishouden aangegeven welk verbruik van gas en elektriciteit gebruikelijk is en welke kosten hieraan gevonden zijn.</w:t>
      </w:r>
    </w:p>
    <w:p w14:paraId="041C6B7E" w14:textId="74D62FDF" w:rsidR="00E2405B" w:rsidRPr="00E2405B" w:rsidRDefault="00E2405B" w:rsidP="00E40B2F">
      <w:pPr>
        <w:ind w:left="708"/>
        <w:rPr>
          <w:rFonts w:cs="Arial"/>
        </w:rPr>
      </w:pPr>
      <w:r w:rsidRPr="00E2405B">
        <w:rPr>
          <w:rFonts w:cs="Arial"/>
        </w:rPr>
        <w:t xml:space="preserve">Wanneer </w:t>
      </w:r>
      <w:r w:rsidR="00E40B2F">
        <w:rPr>
          <w:rFonts w:cs="Arial"/>
        </w:rPr>
        <w:t>een</w:t>
      </w:r>
      <w:r w:rsidRPr="00E2405B">
        <w:rPr>
          <w:rFonts w:cs="Arial"/>
        </w:rPr>
        <w:t xml:space="preserve"> inwoner bijzondere bijstand aanvraagt, wordt eerst </w:t>
      </w:r>
      <w:r w:rsidR="00E40B2F">
        <w:rPr>
          <w:rFonts w:cs="Arial"/>
        </w:rPr>
        <w:t>gekeken</w:t>
      </w:r>
      <w:r w:rsidRPr="00E2405B">
        <w:rPr>
          <w:rFonts w:cs="Arial"/>
        </w:rPr>
        <w:t xml:space="preserve"> hoe het verbruik</w:t>
      </w:r>
      <w:r w:rsidR="00E40B2F">
        <w:rPr>
          <w:rFonts w:cs="Arial"/>
        </w:rPr>
        <w:t xml:space="preserve"> van de inwoner</w:t>
      </w:r>
      <w:r w:rsidRPr="00E2405B">
        <w:rPr>
          <w:rFonts w:cs="Arial"/>
        </w:rPr>
        <w:t xml:space="preserve"> is. Het verbruik van de inwoner kan binnen de richtlijnen van </w:t>
      </w:r>
      <w:r w:rsidR="00E40B2F">
        <w:rPr>
          <w:rFonts w:cs="Arial"/>
        </w:rPr>
        <w:t>het NIBUD</w:t>
      </w:r>
      <w:r w:rsidRPr="00E2405B">
        <w:rPr>
          <w:rFonts w:cs="Arial"/>
        </w:rPr>
        <w:t xml:space="preserve"> vallen, maar de kosten kunnen door de stijging van energiekosten boven het richtbedrag uit komen.</w:t>
      </w:r>
    </w:p>
    <w:p w14:paraId="49CC3718" w14:textId="77777777" w:rsidR="00E40B2F" w:rsidRDefault="00E40B2F" w:rsidP="00E2405B">
      <w:pPr>
        <w:rPr>
          <w:rFonts w:cs="Arial"/>
        </w:rPr>
      </w:pPr>
    </w:p>
    <w:p w14:paraId="1F504041" w14:textId="4F0F0BE9" w:rsidR="00E40B2F" w:rsidRDefault="00E40B2F" w:rsidP="00E40B2F">
      <w:pPr>
        <w:ind w:left="708"/>
        <w:rPr>
          <w:rFonts w:cs="Arial"/>
        </w:rPr>
      </w:pPr>
      <w:r>
        <w:rPr>
          <w:rFonts w:cs="Arial"/>
        </w:rPr>
        <w:t>Vallen het verbruik en de kosten binnen de richtlijnen die het NIBUD hanteert? Dan is er geen bijzondere bijstand mogelijk. Valt het verbruik binnen de richtlijnen, maar zijn de kosten fors gestegen en komen die boven de richtlijnen van het NIBUD uit? Dan kan er voor de hogere kosten wel bijzondere bijstand worden verleend.</w:t>
      </w:r>
    </w:p>
    <w:p w14:paraId="0A0407CD" w14:textId="57ABE9C3" w:rsidR="00E40B2F" w:rsidRDefault="00E40B2F" w:rsidP="00E2405B">
      <w:pPr>
        <w:rPr>
          <w:rFonts w:cs="Arial"/>
        </w:rPr>
      </w:pPr>
    </w:p>
    <w:p w14:paraId="1F6EA7B6" w14:textId="5D8CDAA1" w:rsidR="00E2405B" w:rsidRPr="00E2405B" w:rsidRDefault="00E2405B" w:rsidP="00E40B2F">
      <w:pPr>
        <w:ind w:left="708"/>
        <w:rPr>
          <w:rFonts w:cs="Arial"/>
        </w:rPr>
      </w:pPr>
      <w:r w:rsidRPr="00E2405B">
        <w:rPr>
          <w:rFonts w:cs="Arial"/>
        </w:rPr>
        <w:lastRenderedPageBreak/>
        <w:t xml:space="preserve">Is het verbruik hoger dan de richtlijnen van </w:t>
      </w:r>
      <w:r w:rsidR="00E40B2F">
        <w:rPr>
          <w:rFonts w:cs="Arial"/>
        </w:rPr>
        <w:t>het NIBUD</w:t>
      </w:r>
      <w:r w:rsidRPr="00E2405B">
        <w:rPr>
          <w:rFonts w:cs="Arial"/>
        </w:rPr>
        <w:t>? Dan wordt eerst onderzocht hoe het komt dat dit verbruik hoger is.</w:t>
      </w:r>
      <w:r w:rsidR="00E40B2F">
        <w:rPr>
          <w:rFonts w:cs="Arial"/>
        </w:rPr>
        <w:t xml:space="preserve"> </w:t>
      </w:r>
      <w:r w:rsidRPr="00E2405B">
        <w:rPr>
          <w:rFonts w:cs="Arial"/>
        </w:rPr>
        <w:t xml:space="preserve">Komt dit doordat de woning slecht geïsoleerd is? Dan kan (ook) voor de kosten boven de richtlijnen van </w:t>
      </w:r>
      <w:r w:rsidR="00E40B2F">
        <w:rPr>
          <w:rFonts w:cs="Arial"/>
        </w:rPr>
        <w:t>het NIBUD</w:t>
      </w:r>
      <w:r w:rsidRPr="00E2405B">
        <w:rPr>
          <w:rFonts w:cs="Arial"/>
        </w:rPr>
        <w:t xml:space="preserve"> bijzondere bijstand verleend worden. De isolatiewaarden kunnen nagevraagd worden bij de verhuurder.</w:t>
      </w:r>
    </w:p>
    <w:p w14:paraId="7324A531" w14:textId="6CC59575" w:rsidR="00E2405B" w:rsidRPr="00E2405B" w:rsidRDefault="00E2405B" w:rsidP="00E40B2F">
      <w:pPr>
        <w:ind w:left="708"/>
        <w:rPr>
          <w:rFonts w:cs="Arial"/>
        </w:rPr>
      </w:pPr>
      <w:r w:rsidRPr="00E2405B">
        <w:rPr>
          <w:rFonts w:cs="Arial"/>
        </w:rPr>
        <w:t xml:space="preserve">Komt </w:t>
      </w:r>
      <w:r w:rsidR="00E40B2F">
        <w:rPr>
          <w:rFonts w:cs="Arial"/>
        </w:rPr>
        <w:t xml:space="preserve">de hogere kosten </w:t>
      </w:r>
      <w:r w:rsidRPr="00E2405B">
        <w:rPr>
          <w:rFonts w:cs="Arial"/>
        </w:rPr>
        <w:t xml:space="preserve">door het stookgedrag van de inwoner? Dan moet de inwoner deze kosten in principe zelf betalen. Er kan dan wel gekeken worden naar het verstrekken van leenbijstand voor </w:t>
      </w:r>
      <w:r w:rsidR="006B2B14">
        <w:rPr>
          <w:rFonts w:cs="Arial"/>
        </w:rPr>
        <w:t>de hogere kosten</w:t>
      </w:r>
      <w:r w:rsidRPr="00E2405B">
        <w:rPr>
          <w:rFonts w:cs="Arial"/>
        </w:rPr>
        <w:t xml:space="preserve"> en/of een doorverwijzing naar Op Orde, Sociaal Raadslieden of schulddienstverlening.</w:t>
      </w:r>
    </w:p>
    <w:p w14:paraId="02B94F7F" w14:textId="45E47A0E" w:rsidR="00E2405B" w:rsidRPr="00E2405B" w:rsidRDefault="00E2405B" w:rsidP="00E2405B">
      <w:pPr>
        <w:rPr>
          <w:rFonts w:cs="Arial"/>
        </w:rPr>
      </w:pPr>
    </w:p>
    <w:p w14:paraId="1A2B73EF" w14:textId="77777777" w:rsidR="00E2405B" w:rsidRPr="00E40B2F" w:rsidRDefault="00E2405B" w:rsidP="00E2405B">
      <w:pPr>
        <w:rPr>
          <w:rFonts w:cs="Arial"/>
          <w:b/>
          <w:bCs/>
        </w:rPr>
      </w:pPr>
      <w:r w:rsidRPr="00E40B2F">
        <w:rPr>
          <w:rFonts w:cs="Arial"/>
          <w:b/>
          <w:bCs/>
        </w:rPr>
        <w:t>Geen bijzondere bijstand voor verduurzaming</w:t>
      </w:r>
    </w:p>
    <w:p w14:paraId="100B6588" w14:textId="67C34C6E" w:rsidR="00E2405B" w:rsidRPr="00E2405B" w:rsidRDefault="00E2405B" w:rsidP="00E2405B">
      <w:pPr>
        <w:rPr>
          <w:rFonts w:cs="Arial"/>
        </w:rPr>
      </w:pPr>
      <w:r w:rsidRPr="00E2405B">
        <w:rPr>
          <w:rFonts w:cs="Arial"/>
        </w:rPr>
        <w:t xml:space="preserve">Voor het verduurzamen van de woning is geen bijzondere bijstand </w:t>
      </w:r>
      <w:r w:rsidR="00E40B2F">
        <w:rPr>
          <w:rFonts w:cs="Arial"/>
        </w:rPr>
        <w:t xml:space="preserve">in de kosten </w:t>
      </w:r>
      <w:r w:rsidRPr="00E2405B">
        <w:rPr>
          <w:rFonts w:cs="Arial"/>
        </w:rPr>
        <w:t>mogelijk. Voor deze kosten kan meestal een beroep worden gedaan op een voorliggende voorziening namelijk een lening van de bank, het warmtefonds of de Stichting Volkshuisvesting Nederland.</w:t>
      </w:r>
    </w:p>
    <w:p w14:paraId="4181D66D" w14:textId="4D01D2E4" w:rsidR="00E2405B" w:rsidRPr="00B6673F" w:rsidRDefault="00E2405B" w:rsidP="00E2405B">
      <w:pPr>
        <w:rPr>
          <w:rFonts w:cs="Arial"/>
        </w:rPr>
      </w:pPr>
      <w:r w:rsidRPr="00E2405B">
        <w:rPr>
          <w:rFonts w:cs="Arial"/>
        </w:rPr>
        <w:t xml:space="preserve">Bij verduurzaming van de woning valt te denken aan zonnepanelen, </w:t>
      </w:r>
      <w:r w:rsidR="00E40B2F">
        <w:rPr>
          <w:rFonts w:cs="Arial"/>
        </w:rPr>
        <w:t xml:space="preserve">een </w:t>
      </w:r>
      <w:r w:rsidRPr="00E2405B">
        <w:rPr>
          <w:rFonts w:cs="Arial"/>
        </w:rPr>
        <w:t>inductieplaat voor koken en isolatiemateriaal achter de verwarming.</w:t>
      </w:r>
    </w:p>
    <w:sectPr w:rsidR="00E2405B" w:rsidRPr="00B6673F" w:rsidSect="00D452EE">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3F2108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428387E"/>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B5F28D72"/>
    <w:lvl w:ilvl="0">
      <w:start w:val="1"/>
      <w:numFmt w:val="bullet"/>
      <w:pStyle w:val="Lijstopsomteken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9F98094E"/>
    <w:lvl w:ilvl="0">
      <w:start w:val="1"/>
      <w:numFmt w:val="bullet"/>
      <w:pStyle w:val="Lijstopsomteken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EEFA770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AE3811B8"/>
    <w:lvl w:ilvl="0">
      <w:start w:val="1"/>
      <w:numFmt w:val="bullet"/>
      <w:pStyle w:val="Lijstopsomteken"/>
      <w:lvlText w:val=""/>
      <w:lvlJc w:val="left"/>
      <w:pPr>
        <w:tabs>
          <w:tab w:val="num" w:pos="360"/>
        </w:tabs>
        <w:ind w:left="360" w:hanging="360"/>
      </w:pPr>
      <w:rPr>
        <w:rFonts w:ascii="Symbol" w:hAnsi="Symbol" w:hint="default"/>
      </w:rPr>
    </w:lvl>
  </w:abstractNum>
  <w:abstractNum w:abstractNumId="6" w15:restartNumberingAfterBreak="0">
    <w:nsid w:val="35FE0E97"/>
    <w:multiLevelType w:val="multilevel"/>
    <w:tmpl w:val="B9D2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BC1D90"/>
    <w:multiLevelType w:val="multilevel"/>
    <w:tmpl w:val="94D40DC2"/>
    <w:lvl w:ilvl="0">
      <w:start w:val="1"/>
      <w:numFmt w:val="decimal"/>
      <w:pStyle w:val="Lijstnummering"/>
      <w:lvlText w:val="%1"/>
      <w:lvlJc w:val="left"/>
      <w:pPr>
        <w:tabs>
          <w:tab w:val="num" w:pos="357"/>
        </w:tabs>
        <w:ind w:left="360" w:hanging="360"/>
      </w:pPr>
      <w:rPr>
        <w:rFonts w:hint="default"/>
      </w:rPr>
    </w:lvl>
    <w:lvl w:ilvl="1">
      <w:start w:val="1"/>
      <w:numFmt w:val="decimal"/>
      <w:pStyle w:val="Lijstnummering2"/>
      <w:lvlText w:val="%1.%2"/>
      <w:lvlJc w:val="left"/>
      <w:pPr>
        <w:tabs>
          <w:tab w:val="num" w:pos="720"/>
        </w:tabs>
        <w:ind w:left="720" w:hanging="360"/>
      </w:pPr>
      <w:rPr>
        <w:rFonts w:hint="default"/>
      </w:rPr>
    </w:lvl>
    <w:lvl w:ilvl="2">
      <w:start w:val="1"/>
      <w:numFmt w:val="decimal"/>
      <w:pStyle w:val="Lijstnummering3"/>
      <w:lvlText w:val="%1.%2.%3"/>
      <w:lvlJc w:val="left"/>
      <w:pPr>
        <w:tabs>
          <w:tab w:val="num" w:pos="1304"/>
        </w:tabs>
        <w:ind w:left="1304" w:hanging="58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8" w15:restartNumberingAfterBreak="0">
    <w:nsid w:val="3C775017"/>
    <w:multiLevelType w:val="multilevel"/>
    <w:tmpl w:val="1C5EB592"/>
    <w:lvl w:ilvl="0">
      <w:start w:val="1"/>
      <w:numFmt w:val="decimal"/>
      <w:pStyle w:val="Kop1"/>
      <w:lvlText w:val="%1"/>
      <w:lvlJc w:val="left"/>
      <w:pPr>
        <w:tabs>
          <w:tab w:val="num" w:pos="0"/>
        </w:tabs>
        <w:ind w:left="0" w:hanging="1320"/>
      </w:pPr>
      <w:rPr>
        <w:rFonts w:ascii="Arial" w:hAnsi="Arial" w:hint="default"/>
        <w:b/>
        <w:i w:val="0"/>
        <w:sz w:val="28"/>
      </w:rPr>
    </w:lvl>
    <w:lvl w:ilvl="1">
      <w:start w:val="1"/>
      <w:numFmt w:val="decimal"/>
      <w:pStyle w:val="Kop2"/>
      <w:lvlText w:val="%1.%2"/>
      <w:lvlJc w:val="left"/>
      <w:pPr>
        <w:tabs>
          <w:tab w:val="num" w:pos="0"/>
        </w:tabs>
        <w:ind w:left="0" w:hanging="1320"/>
      </w:pPr>
      <w:rPr>
        <w:rFonts w:ascii="Arial" w:hAnsi="Arial" w:hint="default"/>
        <w:b/>
        <w:i w:val="0"/>
        <w:sz w:val="24"/>
      </w:rPr>
    </w:lvl>
    <w:lvl w:ilvl="2">
      <w:start w:val="1"/>
      <w:numFmt w:val="decimal"/>
      <w:pStyle w:val="Kop3"/>
      <w:lvlText w:val="%1.%2.%3"/>
      <w:lvlJc w:val="left"/>
      <w:pPr>
        <w:tabs>
          <w:tab w:val="num" w:pos="0"/>
        </w:tabs>
        <w:ind w:left="0" w:hanging="1320"/>
      </w:pPr>
      <w:rPr>
        <w:rFonts w:ascii="Arial" w:hAnsi="Arial" w:hint="default"/>
        <w:b/>
        <w:i w:val="0"/>
        <w:sz w:val="20"/>
      </w:rPr>
    </w:lvl>
    <w:lvl w:ilvl="3">
      <w:start w:val="1"/>
      <w:numFmt w:val="decimal"/>
      <w:lvlText w:val="%1.%2.%3.%4."/>
      <w:lvlJc w:val="left"/>
      <w:pPr>
        <w:tabs>
          <w:tab w:val="num" w:pos="2400"/>
        </w:tabs>
        <w:ind w:left="1968" w:hanging="648"/>
      </w:pPr>
      <w:rPr>
        <w:rFonts w:hint="default"/>
      </w:rPr>
    </w:lvl>
    <w:lvl w:ilvl="4">
      <w:start w:val="1"/>
      <w:numFmt w:val="decimal"/>
      <w:lvlText w:val="%1.%2.%3.%4.%5."/>
      <w:lvlJc w:val="left"/>
      <w:pPr>
        <w:tabs>
          <w:tab w:val="num" w:pos="2760"/>
        </w:tabs>
        <w:ind w:left="2472" w:hanging="792"/>
      </w:pPr>
      <w:rPr>
        <w:rFonts w:hint="default"/>
      </w:rPr>
    </w:lvl>
    <w:lvl w:ilvl="5">
      <w:start w:val="1"/>
      <w:numFmt w:val="decimal"/>
      <w:lvlText w:val="%1.%2.%3.%4.%5.%6."/>
      <w:lvlJc w:val="left"/>
      <w:pPr>
        <w:tabs>
          <w:tab w:val="num" w:pos="3480"/>
        </w:tabs>
        <w:ind w:left="2976" w:hanging="936"/>
      </w:pPr>
      <w:rPr>
        <w:rFonts w:hint="default"/>
      </w:rPr>
    </w:lvl>
    <w:lvl w:ilvl="6">
      <w:start w:val="1"/>
      <w:numFmt w:val="decimal"/>
      <w:lvlText w:val="%1.%2.%3.%4.%5.%6.%7."/>
      <w:lvlJc w:val="left"/>
      <w:pPr>
        <w:tabs>
          <w:tab w:val="num" w:pos="3840"/>
        </w:tabs>
        <w:ind w:left="3480" w:hanging="1080"/>
      </w:pPr>
      <w:rPr>
        <w:rFonts w:hint="default"/>
      </w:rPr>
    </w:lvl>
    <w:lvl w:ilvl="7">
      <w:start w:val="1"/>
      <w:numFmt w:val="decimal"/>
      <w:lvlText w:val="%1.%2.%3.%4.%5.%6.%7.%8."/>
      <w:lvlJc w:val="left"/>
      <w:pPr>
        <w:tabs>
          <w:tab w:val="num" w:pos="4560"/>
        </w:tabs>
        <w:ind w:left="3984" w:hanging="1224"/>
      </w:pPr>
      <w:rPr>
        <w:rFonts w:hint="default"/>
      </w:rPr>
    </w:lvl>
    <w:lvl w:ilvl="8">
      <w:start w:val="1"/>
      <w:numFmt w:val="decimal"/>
      <w:lvlText w:val="%1.%2.%3.%4.%5.%6.%7.%8.%9."/>
      <w:lvlJc w:val="left"/>
      <w:pPr>
        <w:tabs>
          <w:tab w:val="num" w:pos="4920"/>
        </w:tabs>
        <w:ind w:left="4560" w:hanging="1440"/>
      </w:pPr>
      <w:rPr>
        <w:rFonts w:hint="default"/>
      </w:rPr>
    </w:lvl>
  </w:abstractNum>
  <w:abstractNum w:abstractNumId="9" w15:restartNumberingAfterBreak="0">
    <w:nsid w:val="6F770498"/>
    <w:multiLevelType w:val="hybridMultilevel"/>
    <w:tmpl w:val="EA1E10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4B20F6F"/>
    <w:multiLevelType w:val="multilevel"/>
    <w:tmpl w:val="7C24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5"/>
  </w:num>
  <w:num w:numId="8">
    <w:abstractNumId w:val="5"/>
  </w:num>
  <w:num w:numId="9">
    <w:abstractNumId w:val="3"/>
  </w:num>
  <w:num w:numId="10">
    <w:abstractNumId w:val="3"/>
  </w:num>
  <w:num w:numId="11">
    <w:abstractNumId w:val="2"/>
  </w:num>
  <w:num w:numId="12">
    <w:abstractNumId w:val="2"/>
  </w:num>
  <w:num w:numId="13">
    <w:abstractNumId w:val="4"/>
  </w:num>
  <w:num w:numId="14">
    <w:abstractNumId w:val="7"/>
  </w:num>
  <w:num w:numId="15">
    <w:abstractNumId w:val="1"/>
  </w:num>
  <w:num w:numId="16">
    <w:abstractNumId w:val="7"/>
  </w:num>
  <w:num w:numId="17">
    <w:abstractNumId w:val="0"/>
  </w:num>
  <w:num w:numId="18">
    <w:abstractNumId w:val="7"/>
  </w:num>
  <w:num w:numId="19">
    <w:abstractNumId w:val="8"/>
  </w:num>
  <w:num w:numId="20">
    <w:abstractNumId w:val="8"/>
  </w:num>
  <w:num w:numId="21">
    <w:abstractNumId w:val="8"/>
  </w:num>
  <w:num w:numId="22">
    <w:abstractNumId w:val="10"/>
  </w:num>
  <w:num w:numId="23">
    <w:abstractNumId w:val="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trackRevisions/>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512"/>
    <w:rsid w:val="00133849"/>
    <w:rsid w:val="00205BD8"/>
    <w:rsid w:val="0029438D"/>
    <w:rsid w:val="002A2ED0"/>
    <w:rsid w:val="00317A68"/>
    <w:rsid w:val="00390CDE"/>
    <w:rsid w:val="003A2B81"/>
    <w:rsid w:val="003E712D"/>
    <w:rsid w:val="003F3FAA"/>
    <w:rsid w:val="00485FE7"/>
    <w:rsid w:val="004B0B57"/>
    <w:rsid w:val="00624787"/>
    <w:rsid w:val="0063228A"/>
    <w:rsid w:val="006A11F7"/>
    <w:rsid w:val="006B2B14"/>
    <w:rsid w:val="00890F1A"/>
    <w:rsid w:val="00976537"/>
    <w:rsid w:val="00980EB1"/>
    <w:rsid w:val="009C7F12"/>
    <w:rsid w:val="00A3560F"/>
    <w:rsid w:val="00B6673F"/>
    <w:rsid w:val="00C83C28"/>
    <w:rsid w:val="00CE4360"/>
    <w:rsid w:val="00D452EE"/>
    <w:rsid w:val="00E2405B"/>
    <w:rsid w:val="00E273FC"/>
    <w:rsid w:val="00E40B2F"/>
    <w:rsid w:val="00E96304"/>
    <w:rsid w:val="00EC55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A6719"/>
  <w15:chartTrackingRefBased/>
  <w15:docId w15:val="{85584FCD-B701-45D1-B257-4F67E5B5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80EB1"/>
    <w:pPr>
      <w:adjustRightInd w:val="0"/>
      <w:spacing w:after="0" w:line="280" w:lineRule="atLeast"/>
    </w:pPr>
    <w:rPr>
      <w:rFonts w:ascii="Arial" w:hAnsi="Arial" w:cs="Times New Roman"/>
      <w:sz w:val="20"/>
      <w:szCs w:val="20"/>
      <w:lang w:eastAsia="nl-NL"/>
    </w:rPr>
  </w:style>
  <w:style w:type="paragraph" w:styleId="Kop1">
    <w:name w:val="heading 1"/>
    <w:basedOn w:val="Standaard"/>
    <w:next w:val="Standaard"/>
    <w:link w:val="Kop1Char"/>
    <w:qFormat/>
    <w:rsid w:val="0029438D"/>
    <w:pPr>
      <w:keepNext/>
      <w:numPr>
        <w:numId w:val="21"/>
      </w:numPr>
      <w:spacing w:before="280"/>
      <w:outlineLvl w:val="0"/>
    </w:pPr>
    <w:rPr>
      <w:b/>
      <w:sz w:val="28"/>
    </w:rPr>
  </w:style>
  <w:style w:type="paragraph" w:styleId="Kop2">
    <w:name w:val="heading 2"/>
    <w:basedOn w:val="Kop1"/>
    <w:next w:val="Standaard"/>
    <w:link w:val="Kop2Char"/>
    <w:qFormat/>
    <w:rsid w:val="0029438D"/>
    <w:pPr>
      <w:numPr>
        <w:ilvl w:val="1"/>
      </w:numPr>
      <w:adjustRightInd/>
      <w:outlineLvl w:val="1"/>
    </w:pPr>
    <w:rPr>
      <w:sz w:val="24"/>
    </w:rPr>
  </w:style>
  <w:style w:type="paragraph" w:styleId="Kop3">
    <w:name w:val="heading 3"/>
    <w:basedOn w:val="Kop2"/>
    <w:next w:val="Standaard"/>
    <w:link w:val="Kop3Char"/>
    <w:qFormat/>
    <w:rsid w:val="0029438D"/>
    <w:pPr>
      <w:numPr>
        <w:ilvl w:val="2"/>
      </w:numPr>
      <w:outlineLvl w:val="2"/>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9438D"/>
    <w:rPr>
      <w:rFonts w:ascii="Arial" w:hAnsi="Arial" w:cs="Times New Roman"/>
      <w:b/>
      <w:sz w:val="28"/>
      <w:szCs w:val="20"/>
      <w:lang w:eastAsia="nl-NL"/>
    </w:rPr>
  </w:style>
  <w:style w:type="character" w:customStyle="1" w:styleId="Kop2Char">
    <w:name w:val="Kop 2 Char"/>
    <w:basedOn w:val="Standaardalinea-lettertype"/>
    <w:link w:val="Kop2"/>
    <w:rsid w:val="0029438D"/>
    <w:rPr>
      <w:rFonts w:ascii="Arial" w:hAnsi="Arial" w:cs="Times New Roman"/>
      <w:b/>
      <w:sz w:val="24"/>
      <w:szCs w:val="20"/>
      <w:lang w:eastAsia="nl-NL"/>
    </w:rPr>
  </w:style>
  <w:style w:type="character" w:customStyle="1" w:styleId="Kop3Char">
    <w:name w:val="Kop 3 Char"/>
    <w:basedOn w:val="Standaardalinea-lettertype"/>
    <w:link w:val="Kop3"/>
    <w:rsid w:val="00133849"/>
    <w:rPr>
      <w:rFonts w:ascii="Arial" w:hAnsi="Arial" w:cs="Times New Roman"/>
      <w:b/>
      <w:sz w:val="20"/>
      <w:szCs w:val="20"/>
      <w:lang w:eastAsia="nl-NL"/>
    </w:rPr>
  </w:style>
  <w:style w:type="paragraph" w:customStyle="1" w:styleId="Kop1zondernummer">
    <w:name w:val="Kop 1 zonder nummer"/>
    <w:basedOn w:val="Kop1"/>
    <w:next w:val="Standaard"/>
    <w:rsid w:val="0029438D"/>
    <w:pPr>
      <w:numPr>
        <w:numId w:val="0"/>
      </w:numPr>
    </w:pPr>
  </w:style>
  <w:style w:type="paragraph" w:customStyle="1" w:styleId="Kop2zondernummer">
    <w:name w:val="Kop 2 zonder nummer"/>
    <w:basedOn w:val="Kop2"/>
    <w:next w:val="Standaard"/>
    <w:rsid w:val="0029438D"/>
    <w:pPr>
      <w:numPr>
        <w:ilvl w:val="0"/>
        <w:numId w:val="0"/>
      </w:numPr>
    </w:pPr>
  </w:style>
  <w:style w:type="paragraph" w:customStyle="1" w:styleId="Kop3zondernummer">
    <w:name w:val="Kop 3 zonder nummer"/>
    <w:basedOn w:val="Kop3"/>
    <w:next w:val="Standaard"/>
    <w:rsid w:val="0029438D"/>
    <w:pPr>
      <w:numPr>
        <w:ilvl w:val="0"/>
        <w:numId w:val="0"/>
      </w:numPr>
    </w:pPr>
  </w:style>
  <w:style w:type="paragraph" w:styleId="Bijschrift">
    <w:name w:val="caption"/>
    <w:basedOn w:val="Standaard"/>
    <w:next w:val="Standaard"/>
    <w:qFormat/>
    <w:rsid w:val="00980EB1"/>
    <w:rPr>
      <w:b/>
      <w:bCs/>
      <w:lang w:eastAsia="en-US"/>
    </w:rPr>
  </w:style>
  <w:style w:type="character" w:customStyle="1" w:styleId="hps">
    <w:name w:val="hps"/>
    <w:basedOn w:val="Standaardalinea-lettertype"/>
    <w:rsid w:val="00980EB1"/>
    <w:rPr>
      <w:rFonts w:cs="Times New Roman"/>
    </w:rPr>
  </w:style>
  <w:style w:type="paragraph" w:customStyle="1" w:styleId="Huisstijl-Afzender">
    <w:name w:val="Huisstijl-Afzender"/>
    <w:basedOn w:val="Standaard"/>
    <w:rsid w:val="00980EB1"/>
    <w:pPr>
      <w:spacing w:line="210" w:lineRule="exact"/>
      <w:jc w:val="right"/>
    </w:pPr>
    <w:rPr>
      <w:noProof/>
      <w:sz w:val="15"/>
    </w:rPr>
  </w:style>
  <w:style w:type="paragraph" w:customStyle="1" w:styleId="Huisstijl-Dialoog">
    <w:name w:val="Huisstijl-Dialoog"/>
    <w:basedOn w:val="Standaard"/>
    <w:rsid w:val="00980EB1"/>
    <w:rPr>
      <w:noProof/>
      <w:sz w:val="24"/>
    </w:rPr>
  </w:style>
  <w:style w:type="paragraph" w:customStyle="1" w:styleId="Huisstijl-DienstKopje">
    <w:name w:val="Huisstijl-DienstKopje"/>
    <w:basedOn w:val="Standaard"/>
    <w:rsid w:val="00980EB1"/>
    <w:pPr>
      <w:spacing w:line="210" w:lineRule="exact"/>
      <w:jc w:val="right"/>
    </w:pPr>
    <w:rPr>
      <w:b/>
      <w:noProof/>
      <w:sz w:val="15"/>
    </w:rPr>
  </w:style>
  <w:style w:type="paragraph" w:customStyle="1" w:styleId="Huisstijl-Titel">
    <w:name w:val="Huisstijl-Titel"/>
    <w:basedOn w:val="Standaard"/>
    <w:rsid w:val="00980EB1"/>
    <w:rPr>
      <w:b/>
      <w:noProof/>
      <w:sz w:val="28"/>
    </w:rPr>
  </w:style>
  <w:style w:type="paragraph" w:customStyle="1" w:styleId="Huisstijl-ExtraTekst">
    <w:name w:val="Huisstijl-ExtraTekst"/>
    <w:basedOn w:val="Huisstijl-Titel"/>
    <w:rsid w:val="00980EB1"/>
    <w:rPr>
      <w:sz w:val="20"/>
    </w:rPr>
  </w:style>
  <w:style w:type="paragraph" w:customStyle="1" w:styleId="Huisstijl-Nummering">
    <w:name w:val="Huisstijl-Nummering"/>
    <w:basedOn w:val="Standaard"/>
    <w:rsid w:val="00980EB1"/>
    <w:pPr>
      <w:jc w:val="right"/>
    </w:pPr>
    <w:rPr>
      <w:noProof/>
      <w:sz w:val="15"/>
    </w:rPr>
  </w:style>
  <w:style w:type="character" w:customStyle="1" w:styleId="Huisstijl-ReferentieGegevens">
    <w:name w:val="Huisstijl-ReferentieGegevens"/>
    <w:basedOn w:val="Standaardalinea-lettertype"/>
    <w:rsid w:val="00980EB1"/>
    <w:rPr>
      <w:rFonts w:ascii="Arial" w:hAnsi="Arial"/>
      <w:noProof/>
      <w:sz w:val="20"/>
    </w:rPr>
  </w:style>
  <w:style w:type="character" w:customStyle="1" w:styleId="Huisstijl-ReferentieKopje">
    <w:name w:val="Huisstijl-ReferentieKopje"/>
    <w:basedOn w:val="Standaardalinea-lettertype"/>
    <w:rsid w:val="00980EB1"/>
    <w:rPr>
      <w:rFonts w:ascii="Arial" w:hAnsi="Arial"/>
      <w:dstrike w:val="0"/>
      <w:noProof/>
      <w:sz w:val="15"/>
      <w:vertAlign w:val="baseline"/>
    </w:rPr>
  </w:style>
  <w:style w:type="paragraph" w:customStyle="1" w:styleId="Huisstijl-SubTitel">
    <w:name w:val="Huisstijl-SubTitel"/>
    <w:basedOn w:val="Huisstijl-Titel"/>
    <w:rsid w:val="00980EB1"/>
    <w:rPr>
      <w:sz w:val="24"/>
    </w:rPr>
  </w:style>
  <w:style w:type="character" w:styleId="Hyperlink">
    <w:name w:val="Hyperlink"/>
    <w:basedOn w:val="Standaardalinea-lettertype"/>
    <w:rsid w:val="00980EB1"/>
    <w:rPr>
      <w:rFonts w:cs="Times New Roman"/>
      <w:color w:val="0000FF"/>
      <w:u w:val="single"/>
    </w:rPr>
  </w:style>
  <w:style w:type="paragraph" w:styleId="Inhopg1">
    <w:name w:val="toc 1"/>
    <w:basedOn w:val="Standaard"/>
    <w:next w:val="Standaard"/>
    <w:semiHidden/>
    <w:rsid w:val="00980EB1"/>
    <w:pPr>
      <w:keepNext/>
      <w:tabs>
        <w:tab w:val="right" w:pos="7800"/>
      </w:tabs>
      <w:adjustRightInd/>
      <w:spacing w:before="280"/>
      <w:ind w:right="600" w:hanging="1320"/>
    </w:pPr>
    <w:rPr>
      <w:b/>
      <w:noProof/>
    </w:rPr>
  </w:style>
  <w:style w:type="paragraph" w:styleId="Inhopg2">
    <w:name w:val="toc 2"/>
    <w:basedOn w:val="Inhopg1"/>
    <w:next w:val="Standaard"/>
    <w:semiHidden/>
    <w:rsid w:val="00980EB1"/>
    <w:pPr>
      <w:keepNext w:val="0"/>
      <w:adjustRightInd w:val="0"/>
      <w:spacing w:before="0"/>
    </w:pPr>
    <w:rPr>
      <w:b w:val="0"/>
    </w:rPr>
  </w:style>
  <w:style w:type="paragraph" w:styleId="Inhopg3">
    <w:name w:val="toc 3"/>
    <w:basedOn w:val="Inhopg2"/>
    <w:next w:val="Standaard"/>
    <w:semiHidden/>
    <w:rsid w:val="00980EB1"/>
  </w:style>
  <w:style w:type="paragraph" w:styleId="Inhopg7">
    <w:name w:val="toc 7"/>
    <w:basedOn w:val="Standaard"/>
    <w:next w:val="Standaard"/>
    <w:semiHidden/>
    <w:rsid w:val="00980EB1"/>
    <w:pPr>
      <w:keepNext/>
      <w:tabs>
        <w:tab w:val="right" w:pos="7800"/>
      </w:tabs>
      <w:spacing w:before="280"/>
      <w:ind w:right="600"/>
    </w:pPr>
    <w:rPr>
      <w:b/>
      <w:noProof/>
    </w:rPr>
  </w:style>
  <w:style w:type="paragraph" w:styleId="Inhopg8">
    <w:name w:val="toc 8"/>
    <w:basedOn w:val="Inhopg7"/>
    <w:next w:val="Standaard"/>
    <w:semiHidden/>
    <w:rsid w:val="00980EB1"/>
    <w:pPr>
      <w:keepNext w:val="0"/>
      <w:spacing w:before="0"/>
    </w:pPr>
    <w:rPr>
      <w:b w:val="0"/>
    </w:rPr>
  </w:style>
  <w:style w:type="paragraph" w:styleId="Inhopg9">
    <w:name w:val="toc 9"/>
    <w:basedOn w:val="Inhopg8"/>
    <w:next w:val="Standaard"/>
    <w:semiHidden/>
    <w:rsid w:val="00980EB1"/>
  </w:style>
  <w:style w:type="paragraph" w:styleId="Koptekst">
    <w:name w:val="header"/>
    <w:basedOn w:val="Standaard"/>
    <w:link w:val="KoptekstChar"/>
    <w:rsid w:val="00980EB1"/>
    <w:pPr>
      <w:tabs>
        <w:tab w:val="center" w:pos="4320"/>
        <w:tab w:val="right" w:pos="8640"/>
      </w:tabs>
    </w:pPr>
  </w:style>
  <w:style w:type="character" w:customStyle="1" w:styleId="KoptekstChar">
    <w:name w:val="Koptekst Char"/>
    <w:basedOn w:val="Standaardalinea-lettertype"/>
    <w:link w:val="Koptekst"/>
    <w:rsid w:val="00980EB1"/>
    <w:rPr>
      <w:rFonts w:ascii="Arial" w:hAnsi="Arial" w:cs="Times New Roman"/>
      <w:sz w:val="20"/>
      <w:szCs w:val="20"/>
      <w:lang w:eastAsia="nl-NL"/>
    </w:rPr>
  </w:style>
  <w:style w:type="paragraph" w:styleId="Lijstopsomteken">
    <w:name w:val="List Bullet"/>
    <w:basedOn w:val="Standaard"/>
    <w:rsid w:val="00980EB1"/>
    <w:pPr>
      <w:numPr>
        <w:numId w:val="8"/>
      </w:numPr>
    </w:pPr>
    <w:rPr>
      <w:lang w:eastAsia="en-US"/>
    </w:rPr>
  </w:style>
  <w:style w:type="paragraph" w:styleId="Lijstopsomteken2">
    <w:name w:val="List Bullet 2"/>
    <w:basedOn w:val="Standaard"/>
    <w:rsid w:val="00980EB1"/>
    <w:pPr>
      <w:numPr>
        <w:numId w:val="10"/>
      </w:numPr>
    </w:pPr>
    <w:rPr>
      <w:lang w:eastAsia="en-US"/>
    </w:rPr>
  </w:style>
  <w:style w:type="paragraph" w:styleId="Lijstopsomteken3">
    <w:name w:val="List Bullet 3"/>
    <w:basedOn w:val="Standaard"/>
    <w:rsid w:val="00980EB1"/>
    <w:pPr>
      <w:numPr>
        <w:numId w:val="12"/>
      </w:numPr>
    </w:pPr>
    <w:rPr>
      <w:lang w:eastAsia="en-US"/>
    </w:rPr>
  </w:style>
  <w:style w:type="paragraph" w:styleId="Lijstnummering">
    <w:name w:val="List Number"/>
    <w:basedOn w:val="Standaard"/>
    <w:rsid w:val="00980EB1"/>
    <w:pPr>
      <w:numPr>
        <w:numId w:val="18"/>
      </w:numPr>
      <w:tabs>
        <w:tab w:val="left" w:pos="1225"/>
      </w:tabs>
    </w:pPr>
    <w:rPr>
      <w:lang w:eastAsia="en-US"/>
    </w:rPr>
  </w:style>
  <w:style w:type="paragraph" w:styleId="Lijstnummering2">
    <w:name w:val="List Number 2"/>
    <w:basedOn w:val="Standaard"/>
    <w:rsid w:val="00980EB1"/>
    <w:pPr>
      <w:numPr>
        <w:ilvl w:val="1"/>
        <w:numId w:val="18"/>
      </w:numPr>
    </w:pPr>
  </w:style>
  <w:style w:type="paragraph" w:styleId="Lijstnummering3">
    <w:name w:val="List Number 3"/>
    <w:basedOn w:val="Standaard"/>
    <w:rsid w:val="00980EB1"/>
    <w:pPr>
      <w:numPr>
        <w:ilvl w:val="2"/>
        <w:numId w:val="18"/>
      </w:numPr>
    </w:pPr>
  </w:style>
  <w:style w:type="paragraph" w:customStyle="1" w:styleId="Lijstalinea1">
    <w:name w:val="Lijstalinea1"/>
    <w:basedOn w:val="Standaard"/>
    <w:rsid w:val="00980EB1"/>
    <w:pPr>
      <w:adjustRightInd/>
      <w:spacing w:after="200" w:line="276" w:lineRule="auto"/>
      <w:ind w:left="720"/>
      <w:contextualSpacing/>
    </w:pPr>
    <w:rPr>
      <w:rFonts w:ascii="Calibri" w:hAnsi="Calibri"/>
      <w:sz w:val="22"/>
      <w:szCs w:val="22"/>
      <w:lang w:eastAsia="en-US"/>
    </w:rPr>
  </w:style>
  <w:style w:type="paragraph" w:styleId="Plattetekst">
    <w:name w:val="Body Text"/>
    <w:basedOn w:val="Standaard"/>
    <w:link w:val="PlattetekstChar"/>
    <w:rsid w:val="00980EB1"/>
    <w:pPr>
      <w:suppressAutoHyphens/>
      <w:adjustRightInd/>
      <w:spacing w:before="120"/>
    </w:pPr>
    <w:rPr>
      <w:rFonts w:cs="Arial"/>
      <w:lang w:val="en-GB" w:eastAsia="ar-SA"/>
    </w:rPr>
  </w:style>
  <w:style w:type="character" w:customStyle="1" w:styleId="PlattetekstChar">
    <w:name w:val="Platte tekst Char"/>
    <w:basedOn w:val="Standaardalinea-lettertype"/>
    <w:link w:val="Plattetekst"/>
    <w:rsid w:val="00980EB1"/>
    <w:rPr>
      <w:rFonts w:ascii="Arial" w:hAnsi="Arial" w:cs="Arial"/>
      <w:sz w:val="20"/>
      <w:szCs w:val="20"/>
      <w:lang w:val="en-GB" w:eastAsia="ar-SA"/>
    </w:rPr>
  </w:style>
  <w:style w:type="table" w:styleId="Tabelraster">
    <w:name w:val="Table Grid"/>
    <w:basedOn w:val="Standaardtabel"/>
    <w:rsid w:val="00980EB1"/>
    <w:pPr>
      <w:spacing w:after="0" w:line="240" w:lineRule="auto"/>
    </w:pPr>
    <w:rPr>
      <w:rFonts w:ascii="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rsid w:val="00980EB1"/>
    <w:pPr>
      <w:tabs>
        <w:tab w:val="center" w:pos="4320"/>
        <w:tab w:val="right" w:pos="8640"/>
      </w:tabs>
    </w:pPr>
  </w:style>
  <w:style w:type="character" w:customStyle="1" w:styleId="VoettekstChar">
    <w:name w:val="Voettekst Char"/>
    <w:basedOn w:val="Standaardalinea-lettertype"/>
    <w:link w:val="Voettekst"/>
    <w:rsid w:val="00980EB1"/>
    <w:rPr>
      <w:rFonts w:ascii="Arial" w:hAnsi="Arial" w:cs="Times New Roman"/>
      <w:sz w:val="20"/>
      <w:szCs w:val="20"/>
      <w:lang w:eastAsia="nl-NL"/>
    </w:rPr>
  </w:style>
  <w:style w:type="paragraph" w:styleId="Normaalweb">
    <w:name w:val="Normal (Web)"/>
    <w:basedOn w:val="Standaard"/>
    <w:uiPriority w:val="99"/>
    <w:semiHidden/>
    <w:unhideWhenUsed/>
    <w:rsid w:val="00E273FC"/>
    <w:pPr>
      <w:adjustRightInd/>
      <w:spacing w:before="100" w:beforeAutospacing="1" w:after="100" w:afterAutospacing="1" w:line="240" w:lineRule="auto"/>
    </w:pPr>
    <w:rPr>
      <w:rFonts w:ascii="Times New Roman" w:hAnsi="Times New Roman"/>
      <w:sz w:val="24"/>
      <w:szCs w:val="24"/>
    </w:rPr>
  </w:style>
  <w:style w:type="paragraph" w:styleId="Lijstalinea">
    <w:name w:val="List Paragraph"/>
    <w:basedOn w:val="Standaard"/>
    <w:uiPriority w:val="34"/>
    <w:qFormat/>
    <w:rsid w:val="00E2405B"/>
    <w:pPr>
      <w:ind w:left="720"/>
      <w:contextualSpacing/>
    </w:pPr>
  </w:style>
  <w:style w:type="character" w:customStyle="1" w:styleId="UnresolvedMention">
    <w:name w:val="Unresolved Mention"/>
    <w:basedOn w:val="Standaardalinea-lettertype"/>
    <w:uiPriority w:val="99"/>
    <w:semiHidden/>
    <w:unhideWhenUsed/>
    <w:rsid w:val="00390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8041">
      <w:bodyDiv w:val="1"/>
      <w:marLeft w:val="0"/>
      <w:marRight w:val="0"/>
      <w:marTop w:val="0"/>
      <w:marBottom w:val="0"/>
      <w:divBdr>
        <w:top w:val="none" w:sz="0" w:space="0" w:color="auto"/>
        <w:left w:val="none" w:sz="0" w:space="0" w:color="auto"/>
        <w:bottom w:val="none" w:sz="0" w:space="0" w:color="auto"/>
        <w:right w:val="none" w:sz="0" w:space="0" w:color="auto"/>
      </w:divBdr>
    </w:div>
    <w:div w:id="610212221">
      <w:bodyDiv w:val="1"/>
      <w:marLeft w:val="0"/>
      <w:marRight w:val="0"/>
      <w:marTop w:val="0"/>
      <w:marBottom w:val="0"/>
      <w:divBdr>
        <w:top w:val="none" w:sz="0" w:space="0" w:color="auto"/>
        <w:left w:val="none" w:sz="0" w:space="0" w:color="auto"/>
        <w:bottom w:val="none" w:sz="0" w:space="0" w:color="auto"/>
        <w:right w:val="none" w:sz="0" w:space="0" w:color="auto"/>
      </w:divBdr>
    </w:div>
    <w:div w:id="1237672044">
      <w:bodyDiv w:val="1"/>
      <w:marLeft w:val="0"/>
      <w:marRight w:val="0"/>
      <w:marTop w:val="0"/>
      <w:marBottom w:val="0"/>
      <w:divBdr>
        <w:top w:val="none" w:sz="0" w:space="0" w:color="auto"/>
        <w:left w:val="none" w:sz="0" w:space="0" w:color="auto"/>
        <w:bottom w:val="none" w:sz="0" w:space="0" w:color="auto"/>
        <w:right w:val="none" w:sz="0" w:space="0" w:color="auto"/>
      </w:divBdr>
    </w:div>
    <w:div w:id="1262488677">
      <w:bodyDiv w:val="1"/>
      <w:marLeft w:val="0"/>
      <w:marRight w:val="0"/>
      <w:marTop w:val="0"/>
      <w:marBottom w:val="0"/>
      <w:divBdr>
        <w:top w:val="none" w:sz="0" w:space="0" w:color="auto"/>
        <w:left w:val="none" w:sz="0" w:space="0" w:color="auto"/>
        <w:bottom w:val="none" w:sz="0" w:space="0" w:color="auto"/>
        <w:right w:val="none" w:sz="0" w:space="0" w:color="auto"/>
      </w:divBdr>
    </w:div>
    <w:div w:id="1474831943">
      <w:bodyDiv w:val="1"/>
      <w:marLeft w:val="0"/>
      <w:marRight w:val="0"/>
      <w:marTop w:val="0"/>
      <w:marBottom w:val="0"/>
      <w:divBdr>
        <w:top w:val="none" w:sz="0" w:space="0" w:color="auto"/>
        <w:left w:val="none" w:sz="0" w:space="0" w:color="auto"/>
        <w:bottom w:val="none" w:sz="0" w:space="0" w:color="auto"/>
        <w:right w:val="none" w:sz="0" w:space="0" w:color="auto"/>
      </w:divBdr>
    </w:div>
    <w:div w:id="170436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wolle.nl/energietoeslag"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1269</Words>
  <Characters>6984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ONS Shared Service Center</Company>
  <LinksUpToDate>false</LinksUpToDate>
  <CharactersWithSpaces>8237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Schoorlemmer, Leo</dc:creator>
  <cp:keywords/>
  <dc:description/>
  <cp:lastModifiedBy>Gebruiker</cp:lastModifiedBy>
  <cp:revision>2</cp:revision>
  <dcterms:created xsi:type="dcterms:W3CDTF">2022-04-09T12:59:00Z</dcterms:created>
  <dcterms:modified xsi:type="dcterms:W3CDTF">2022-04-09T12:59:00Z</dcterms:modified>
</cp:coreProperties>
</file>